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E4AB" w14:textId="77777777" w:rsidR="00BA14FF" w:rsidRPr="00B220BC" w:rsidRDefault="00BA14FF" w:rsidP="00BA14FF">
      <w:pPr>
        <w:rPr>
          <w:rFonts w:ascii="Arial" w:hAnsi="Arial" w:cs="Arial"/>
          <w:sz w:val="16"/>
          <w:szCs w:val="16"/>
        </w:rPr>
      </w:pPr>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68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14:paraId="5E2A415F" w14:textId="77777777"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14:paraId="161AD4C6" w14:textId="77777777"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14:paraId="1E615BB1" w14:textId="77777777" w:rsidR="00BA14FF" w:rsidRPr="00B220BC" w:rsidRDefault="00BA14FF" w:rsidP="00B220BC">
      <w:pPr>
        <w:pStyle w:val="NoSpacing"/>
        <w:jc w:val="center"/>
      </w:pPr>
    </w:p>
    <w:p w14:paraId="18074BC7" w14:textId="77777777"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14:paraId="6AF2C6CA" w14:textId="77777777"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14:paraId="7EC127BE" w14:textId="53C014BE"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0566E5">
        <w:rPr>
          <w:rFonts w:ascii="Arial" w:hAnsi="Arial" w:cs="Arial"/>
          <w:b/>
        </w:rPr>
        <w:t>2</w:t>
      </w:r>
      <w:r w:rsidR="003A1A97">
        <w:rPr>
          <w:rFonts w:ascii="Arial" w:hAnsi="Arial" w:cs="Arial"/>
          <w:b/>
        </w:rPr>
        <w:t>4</w:t>
      </w:r>
    </w:p>
    <w:p w14:paraId="531EA7AC" w14:textId="77777777"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14:paraId="5A1350D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14:paraId="32123741"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14:paraId="7FDE93F3" w14:textId="77777777"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Pr="00FC7863">
        <w:rPr>
          <w:rFonts w:ascii="Arial" w:hAnsi="Arial" w:cs="Arial"/>
          <w:color w:val="252525"/>
        </w:rPr>
        <w:t xml:space="preserve">and additions to/deductions from </w:t>
      </w:r>
      <w:r w:rsidR="00526CA9">
        <w:rPr>
          <w:rFonts w:ascii="Arial" w:hAnsi="Arial" w:cs="Arial"/>
          <w:color w:val="252525"/>
        </w:rPr>
        <w:t>NDPERS’</w:t>
      </w:r>
      <w:r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14:paraId="18DEBB3B"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14:paraId="33C173EB" w14:textId="77777777"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F55B1E">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14:paraId="1F88BBAA"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5B943290" w14:textId="77777777" w:rsidR="00596A60" w:rsidRDefault="00731026"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North Dakota Public Employees</w:t>
      </w:r>
      <w:r w:rsidR="00A27937" w:rsidRPr="00FC7863">
        <w:rPr>
          <w:rFonts w:ascii="Arial" w:hAnsi="Arial" w:cs="Arial"/>
          <w:i/>
          <w:sz w:val="22"/>
          <w:szCs w:val="22"/>
        </w:rPr>
        <w:t xml:space="preserve"> Retirement</w:t>
      </w:r>
      <w:r w:rsidR="00364963">
        <w:rPr>
          <w:rFonts w:ascii="Arial" w:hAnsi="Arial" w:cs="Arial"/>
          <w:i/>
          <w:sz w:val="22"/>
          <w:szCs w:val="22"/>
        </w:rPr>
        <w:t xml:space="preserve"> System (Main System)</w:t>
      </w:r>
    </w:p>
    <w:p w14:paraId="5F6494EE" w14:textId="77777777" w:rsidR="00A27937" w:rsidRPr="00FC7863" w:rsidRDefault="00A27937" w:rsidP="00FC7863">
      <w:pPr>
        <w:pStyle w:val="B1Text"/>
        <w:rPr>
          <w:rFonts w:ascii="Arial" w:hAnsi="Arial" w:cs="Arial"/>
          <w:i/>
          <w:sz w:val="22"/>
          <w:szCs w:val="22"/>
        </w:rPr>
      </w:pPr>
    </w:p>
    <w:p w14:paraId="30B24767" w14:textId="77777777"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731026">
        <w:rPr>
          <w:rFonts w:ascii="Arial" w:hAnsi="Arial" w:cs="Arial"/>
          <w:b w:val="0"/>
          <w:szCs w:val="22"/>
        </w:rPr>
        <w:t xml:space="preserve"> NDPERS</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NDCC Chapter 54-52</w:t>
      </w:r>
      <w:r w:rsidRPr="00FC7863">
        <w:rPr>
          <w:rFonts w:ascii="Arial" w:hAnsi="Arial" w:cs="Arial"/>
          <w:b w:val="0"/>
          <w:szCs w:val="22"/>
        </w:rPr>
        <w:t xml:space="preserve"> for more complete information.</w:t>
      </w:r>
    </w:p>
    <w:p w14:paraId="426A0532" w14:textId="77777777" w:rsidR="00A4308A" w:rsidRPr="00FC7863" w:rsidRDefault="00A4308A" w:rsidP="00FC7863">
      <w:pPr>
        <w:pStyle w:val="B3NotesSubHeading"/>
        <w:jc w:val="both"/>
        <w:rPr>
          <w:rFonts w:ascii="Arial" w:hAnsi="Arial" w:cs="Arial"/>
          <w:b w:val="0"/>
          <w:szCs w:val="22"/>
        </w:rPr>
      </w:pPr>
    </w:p>
    <w:p w14:paraId="785633A4" w14:textId="77777777" w:rsidR="00A4308A" w:rsidRPr="00FC7863" w:rsidRDefault="00931B3B" w:rsidP="00FC7863">
      <w:pPr>
        <w:pStyle w:val="B3NotesSubHeading"/>
        <w:jc w:val="both"/>
        <w:rPr>
          <w:rFonts w:ascii="Arial" w:hAnsi="Arial" w:cs="Arial"/>
          <w:b w:val="0"/>
          <w:szCs w:val="22"/>
        </w:rPr>
      </w:pPr>
      <w:r>
        <w:rPr>
          <w:rFonts w:ascii="Arial" w:hAnsi="Arial" w:cs="Arial"/>
          <w:b w:val="0"/>
          <w:szCs w:val="22"/>
        </w:rPr>
        <w:t>NDPERS</w:t>
      </w:r>
      <w:r w:rsidR="00A4308A" w:rsidRPr="00FC7863">
        <w:rPr>
          <w:rFonts w:ascii="Arial" w:hAnsi="Arial" w:cs="Arial"/>
          <w:b w:val="0"/>
          <w:szCs w:val="22"/>
        </w:rPr>
        <w:t xml:space="preserve"> is a cost-sharing multiple-employer defined benefit pension plan </w:t>
      </w:r>
      <w:r>
        <w:rPr>
          <w:rFonts w:ascii="Arial" w:hAnsi="Arial" w:cs="Arial"/>
          <w:b w:val="0"/>
          <w:szCs w:val="22"/>
        </w:rPr>
        <w:t>that covers substantially all employees of the State of North Dakota, its agencies and various participating political subdivision</w:t>
      </w:r>
      <w:r w:rsidR="00C20EF0">
        <w:rPr>
          <w:rFonts w:ascii="Arial" w:hAnsi="Arial" w:cs="Arial"/>
          <w:b w:val="0"/>
          <w:szCs w:val="22"/>
        </w:rPr>
        <w:t>s</w:t>
      </w:r>
      <w:r>
        <w:rPr>
          <w:rFonts w:ascii="Arial" w:hAnsi="Arial" w:cs="Arial"/>
          <w:b w:val="0"/>
          <w:szCs w:val="22"/>
        </w:rPr>
        <w:t>.</w:t>
      </w:r>
      <w:r w:rsidR="00AA1DF5">
        <w:rPr>
          <w:rFonts w:ascii="Arial" w:hAnsi="Arial" w:cs="Arial"/>
          <w:b w:val="0"/>
          <w:szCs w:val="22"/>
        </w:rPr>
        <w:t xml:space="preserve"> NDPERS</w:t>
      </w:r>
      <w:r w:rsidR="00A4308A" w:rsidRPr="00FC7863">
        <w:rPr>
          <w:rFonts w:ascii="Arial" w:hAnsi="Arial" w:cs="Arial"/>
          <w:b w:val="0"/>
          <w:szCs w:val="22"/>
        </w:rPr>
        <w:t xml:space="preserve"> provides for pension, death and disability benefits. The cost to admin</w:t>
      </w:r>
      <w:r w:rsidR="00AA1DF5">
        <w:rPr>
          <w:rFonts w:ascii="Arial" w:hAnsi="Arial" w:cs="Arial"/>
          <w:b w:val="0"/>
          <w:szCs w:val="22"/>
        </w:rPr>
        <w:t>ister the</w:t>
      </w:r>
      <w:r w:rsidR="00A4308A" w:rsidRPr="00FC7863">
        <w:rPr>
          <w:rFonts w:ascii="Arial" w:hAnsi="Arial" w:cs="Arial"/>
          <w:b w:val="0"/>
          <w:szCs w:val="22"/>
        </w:rPr>
        <w:t xml:space="preserve"> plan is financed </w:t>
      </w:r>
      <w:r w:rsidR="00AA1DF5">
        <w:rPr>
          <w:rFonts w:ascii="Arial" w:hAnsi="Arial" w:cs="Arial"/>
          <w:b w:val="0"/>
          <w:szCs w:val="22"/>
        </w:rPr>
        <w:t>through the contributions and investment earnings of the plan.</w:t>
      </w:r>
    </w:p>
    <w:p w14:paraId="1E080AAC" w14:textId="77777777" w:rsidR="00A4308A" w:rsidRPr="00FC7863" w:rsidRDefault="00A4308A" w:rsidP="00FC7863">
      <w:pPr>
        <w:pStyle w:val="B3NotesSubHeading"/>
        <w:jc w:val="both"/>
        <w:rPr>
          <w:rFonts w:ascii="Arial" w:hAnsi="Arial" w:cs="Arial"/>
          <w:b w:val="0"/>
          <w:szCs w:val="22"/>
        </w:rPr>
      </w:pPr>
    </w:p>
    <w:p w14:paraId="4E83B9CC" w14:textId="77777777" w:rsidR="003A1A97" w:rsidRPr="003A1A97" w:rsidRDefault="00A4308A" w:rsidP="003A1A97">
      <w:pPr>
        <w:autoSpaceDE w:val="0"/>
        <w:autoSpaceDN w:val="0"/>
        <w:adjustRightInd w:val="0"/>
        <w:spacing w:after="0" w:line="240" w:lineRule="auto"/>
        <w:rPr>
          <w:rFonts w:ascii="Arial" w:hAnsi="Arial" w:cs="Arial"/>
        </w:rPr>
      </w:pPr>
      <w:r w:rsidRPr="00FC7863">
        <w:rPr>
          <w:rFonts w:ascii="Arial" w:hAnsi="Arial" w:cs="Arial"/>
        </w:rPr>
        <w:t>Responsibili</w:t>
      </w:r>
      <w:r w:rsidR="00C20EF0">
        <w:rPr>
          <w:rFonts w:ascii="Arial" w:hAnsi="Arial" w:cs="Arial"/>
        </w:rPr>
        <w:t>ty for administration of the NDPERS defined benefit pension plan</w:t>
      </w:r>
      <w:r w:rsidRPr="00FC7863">
        <w:rPr>
          <w:rFonts w:ascii="Arial" w:hAnsi="Arial" w:cs="Arial"/>
        </w:rPr>
        <w:t xml:space="preserve"> </w:t>
      </w:r>
      <w:r w:rsidR="00C20EF0">
        <w:rPr>
          <w:rFonts w:ascii="Arial" w:hAnsi="Arial" w:cs="Arial"/>
        </w:rPr>
        <w:t>is</w:t>
      </w:r>
      <w:r w:rsidRPr="00FC7863">
        <w:rPr>
          <w:rFonts w:ascii="Arial" w:hAnsi="Arial" w:cs="Arial"/>
        </w:rPr>
        <w:t xml:space="preserve"> as</w:t>
      </w:r>
      <w:r w:rsidR="00C20EF0">
        <w:rPr>
          <w:rFonts w:ascii="Arial" w:hAnsi="Arial" w:cs="Arial"/>
        </w:rPr>
        <w:t xml:space="preserve">signed to a </w:t>
      </w:r>
      <w:r w:rsidRPr="00FC7863">
        <w:rPr>
          <w:rFonts w:ascii="Arial" w:hAnsi="Arial" w:cs="Arial"/>
        </w:rPr>
        <w:t xml:space="preserve">Board </w:t>
      </w:r>
      <w:r w:rsidR="00C20EF0">
        <w:rPr>
          <w:rFonts w:ascii="Arial" w:hAnsi="Arial" w:cs="Arial"/>
        </w:rPr>
        <w:t xml:space="preserve">comprised of </w:t>
      </w:r>
      <w:r w:rsidR="003A1A97" w:rsidRPr="003A1A97">
        <w:rPr>
          <w:rFonts w:ascii="Arial" w:hAnsi="Arial" w:cs="Arial"/>
        </w:rPr>
        <w:t>eleven</w:t>
      </w:r>
      <w:r w:rsidR="00C20EF0">
        <w:rPr>
          <w:rFonts w:ascii="Arial" w:hAnsi="Arial" w:cs="Arial"/>
        </w:rPr>
        <w:t xml:space="preserve"> members.  </w:t>
      </w:r>
      <w:r w:rsidR="003A1A97" w:rsidRPr="003A1A97">
        <w:rPr>
          <w:rFonts w:ascii="Arial" w:hAnsi="Arial" w:cs="Arial"/>
        </w:rPr>
        <w:t>The Governor is responsible for appointing three</w:t>
      </w:r>
    </w:p>
    <w:p w14:paraId="2E7BA2D3" w14:textId="2C83694C" w:rsidR="003A1A97" w:rsidRPr="003A1A97" w:rsidRDefault="003A1A97" w:rsidP="003A1A97">
      <w:pPr>
        <w:autoSpaceDE w:val="0"/>
        <w:autoSpaceDN w:val="0"/>
        <w:adjustRightInd w:val="0"/>
        <w:spacing w:after="0" w:line="240" w:lineRule="auto"/>
        <w:rPr>
          <w:rFonts w:ascii="Arial" w:hAnsi="Arial" w:cs="Arial"/>
        </w:rPr>
      </w:pPr>
      <w:r w:rsidRPr="003A1A97">
        <w:rPr>
          <w:rFonts w:ascii="Arial" w:hAnsi="Arial" w:cs="Arial"/>
        </w:rPr>
        <w:t>other members in addition to the Chairman of the Board. Four members are</w:t>
      </w:r>
    </w:p>
    <w:p w14:paraId="582238B7" w14:textId="77777777" w:rsidR="003A1A97" w:rsidRPr="003A1A97" w:rsidRDefault="003A1A97" w:rsidP="003A1A97">
      <w:pPr>
        <w:autoSpaceDE w:val="0"/>
        <w:autoSpaceDN w:val="0"/>
        <w:adjustRightInd w:val="0"/>
        <w:spacing w:after="0" w:line="240" w:lineRule="auto"/>
        <w:rPr>
          <w:rFonts w:ascii="Arial" w:hAnsi="Arial" w:cs="Arial"/>
        </w:rPr>
      </w:pPr>
      <w:r w:rsidRPr="003A1A97">
        <w:rPr>
          <w:rFonts w:ascii="Arial" w:hAnsi="Arial" w:cs="Arial"/>
        </w:rPr>
        <w:t>appointed by legislative management, and the remaining three Board members are</w:t>
      </w:r>
    </w:p>
    <w:p w14:paraId="358E3822" w14:textId="01D2CE3B" w:rsidR="005F289A" w:rsidRPr="003A1A97" w:rsidRDefault="003A1A97" w:rsidP="003A1A97">
      <w:pPr>
        <w:autoSpaceDE w:val="0"/>
        <w:autoSpaceDN w:val="0"/>
        <w:adjustRightInd w:val="0"/>
        <w:spacing w:after="0" w:line="240" w:lineRule="auto"/>
        <w:rPr>
          <w:rFonts w:ascii="Arial" w:hAnsi="Arial" w:cs="Arial"/>
        </w:rPr>
      </w:pPr>
      <w:r w:rsidRPr="003A1A97">
        <w:rPr>
          <w:rFonts w:ascii="Arial" w:hAnsi="Arial" w:cs="Arial"/>
        </w:rPr>
        <w:t>elected from active employees currently contributing to PERS.</w:t>
      </w:r>
    </w:p>
    <w:p w14:paraId="2C0C4D6A" w14:textId="77777777" w:rsidR="00BA5BF4" w:rsidRDefault="00BA5BF4" w:rsidP="00596A60">
      <w:pPr>
        <w:pStyle w:val="B3NotesSubHeading"/>
        <w:jc w:val="both"/>
        <w:rPr>
          <w:rFonts w:ascii="Arial" w:hAnsi="Arial" w:cs="Arial"/>
          <w:i/>
          <w:szCs w:val="22"/>
        </w:rPr>
      </w:pPr>
    </w:p>
    <w:p w14:paraId="6F02A5E9" w14:textId="77777777" w:rsidR="00BA5BF4" w:rsidRDefault="00BA5BF4" w:rsidP="00596A60">
      <w:pPr>
        <w:pStyle w:val="B3NotesSubHeading"/>
        <w:jc w:val="both"/>
        <w:rPr>
          <w:rFonts w:ascii="Arial" w:hAnsi="Arial" w:cs="Arial"/>
          <w:i/>
          <w:szCs w:val="22"/>
        </w:rPr>
      </w:pPr>
    </w:p>
    <w:p w14:paraId="53A3C3A5" w14:textId="77777777" w:rsidR="00C4408C" w:rsidRDefault="00C4408C" w:rsidP="00596A60">
      <w:pPr>
        <w:pStyle w:val="B3NotesSubHeading"/>
        <w:jc w:val="both"/>
        <w:rPr>
          <w:rFonts w:ascii="Arial" w:hAnsi="Arial" w:cs="Arial"/>
          <w:i/>
          <w:szCs w:val="22"/>
        </w:rPr>
      </w:pPr>
    </w:p>
    <w:p w14:paraId="640ABF7E" w14:textId="77777777" w:rsidR="003A1A97" w:rsidRDefault="003A1A97" w:rsidP="00596A60">
      <w:pPr>
        <w:pStyle w:val="B3NotesSubHeading"/>
        <w:jc w:val="both"/>
        <w:rPr>
          <w:rFonts w:ascii="Arial" w:hAnsi="Arial" w:cs="Arial"/>
          <w:i/>
          <w:szCs w:val="22"/>
        </w:rPr>
      </w:pPr>
    </w:p>
    <w:p w14:paraId="4C956F47" w14:textId="77777777" w:rsidR="00C4408C" w:rsidRDefault="00C4408C" w:rsidP="00596A60">
      <w:pPr>
        <w:pStyle w:val="B3NotesSubHeading"/>
        <w:jc w:val="both"/>
        <w:rPr>
          <w:rFonts w:ascii="Arial" w:hAnsi="Arial" w:cs="Arial"/>
          <w:i/>
          <w:szCs w:val="22"/>
        </w:rPr>
      </w:pPr>
    </w:p>
    <w:p w14:paraId="1BDAC492" w14:textId="77777777" w:rsidR="00BE20F5" w:rsidRDefault="00BE20F5" w:rsidP="00596A60">
      <w:pPr>
        <w:pStyle w:val="B3NotesSubHeading"/>
        <w:jc w:val="both"/>
        <w:rPr>
          <w:rFonts w:ascii="Arial" w:hAnsi="Arial" w:cs="Arial"/>
          <w:i/>
          <w:szCs w:val="22"/>
        </w:rPr>
      </w:pPr>
    </w:p>
    <w:p w14:paraId="32B3DD59" w14:textId="77777777" w:rsidR="00596A60" w:rsidRDefault="00A27937" w:rsidP="00596A60">
      <w:pPr>
        <w:pStyle w:val="B3NotesSubHeading"/>
        <w:jc w:val="both"/>
        <w:rPr>
          <w:rFonts w:ascii="Arial" w:hAnsi="Arial" w:cs="Arial"/>
          <w:i/>
          <w:szCs w:val="22"/>
        </w:rPr>
      </w:pPr>
      <w:r w:rsidRPr="00FC7863">
        <w:rPr>
          <w:rFonts w:ascii="Arial" w:hAnsi="Arial" w:cs="Arial"/>
          <w:i/>
          <w:szCs w:val="22"/>
        </w:rPr>
        <w:lastRenderedPageBreak/>
        <w:t>Pension Benefits</w:t>
      </w:r>
      <w:r w:rsidR="004A5CC4" w:rsidRPr="00FC7863">
        <w:rPr>
          <w:rFonts w:ascii="Arial" w:hAnsi="Arial" w:cs="Arial"/>
          <w:i/>
          <w:szCs w:val="22"/>
        </w:rPr>
        <w:t xml:space="preserve"> </w:t>
      </w:r>
    </w:p>
    <w:p w14:paraId="393F5DAC" w14:textId="77777777" w:rsidR="00A27937" w:rsidRPr="00FC7863" w:rsidRDefault="00A27937" w:rsidP="00FC7863">
      <w:pPr>
        <w:pStyle w:val="B1Text"/>
        <w:rPr>
          <w:rFonts w:ascii="Arial" w:hAnsi="Arial" w:cs="Arial"/>
          <w:i/>
          <w:sz w:val="22"/>
          <w:szCs w:val="22"/>
        </w:rPr>
      </w:pPr>
    </w:p>
    <w:p w14:paraId="4EF96E1E" w14:textId="77777777" w:rsidR="00FC7863" w:rsidRDefault="003E776E"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Benefits are set by statute.  NDPERS has no provision</w:t>
      </w:r>
      <w:r w:rsidR="00292BFC">
        <w:rPr>
          <w:rFonts w:ascii="Arial" w:eastAsia="Times New Roman" w:hAnsi="Arial" w:cs="Arial"/>
          <w:snapToGrid w:val="0"/>
        </w:rPr>
        <w:t>s</w:t>
      </w:r>
      <w:r>
        <w:rPr>
          <w:rFonts w:ascii="Arial" w:eastAsia="Times New Roman" w:hAnsi="Arial" w:cs="Arial"/>
          <w:snapToGrid w:val="0"/>
        </w:rPr>
        <w:t xml:space="preserve"> or policies with respect to automatic and ad hoc post-retirement benefit increases.  Member of the Main System are entitled to unreduced monthly pension benefits beginning when the sum of age and years of credited service equal or exceed 85 (Rule of 85), or at normal retirement age (65).  </w:t>
      </w:r>
      <w:r w:rsidR="00292BFC">
        <w:rPr>
          <w:rFonts w:ascii="Arial" w:eastAsia="Times New Roman" w:hAnsi="Arial" w:cs="Arial"/>
          <w:snapToGrid w:val="0"/>
        </w:rPr>
        <w:t>For members hired on or after January 1, 2016 the Rule of 85 w</w:t>
      </w:r>
      <w:r w:rsidR="000566E5">
        <w:rPr>
          <w:rFonts w:ascii="Arial" w:eastAsia="Times New Roman" w:hAnsi="Arial" w:cs="Arial"/>
          <w:snapToGrid w:val="0"/>
        </w:rPr>
        <w:t>as</w:t>
      </w:r>
      <w:r w:rsidR="00292BFC">
        <w:rPr>
          <w:rFonts w:ascii="Arial" w:eastAsia="Times New Roman" w:hAnsi="Arial" w:cs="Arial"/>
          <w:snapToGrid w:val="0"/>
        </w:rPr>
        <w:t xml:space="preserve"> be replaced with the Rule of 90 with a minimum age of 60.  </w:t>
      </w:r>
      <w:r>
        <w:rPr>
          <w:rFonts w:ascii="Arial" w:eastAsia="Times New Roman" w:hAnsi="Arial" w:cs="Arial"/>
          <w:snapToGrid w:val="0"/>
        </w:rPr>
        <w:t xml:space="preserve">The </w:t>
      </w:r>
      <w:r w:rsidR="00476AE6">
        <w:rPr>
          <w:rFonts w:ascii="Arial" w:eastAsia="Times New Roman" w:hAnsi="Arial" w:cs="Arial"/>
          <w:snapToGrid w:val="0"/>
        </w:rPr>
        <w:t>monthly</w:t>
      </w:r>
      <w:r>
        <w:rPr>
          <w:rFonts w:ascii="Arial" w:eastAsia="Times New Roman" w:hAnsi="Arial" w:cs="Arial"/>
          <w:snapToGrid w:val="0"/>
        </w:rPr>
        <w:t xml:space="preserve"> pension benefit is equal to 2.00% of their average monthly salary, using the highest 36 months out of the last 180 months of service, for each year of serv</w:t>
      </w:r>
      <w:r w:rsidR="00B13AE0">
        <w:rPr>
          <w:rFonts w:ascii="Arial" w:eastAsia="Times New Roman" w:hAnsi="Arial" w:cs="Arial"/>
          <w:snapToGrid w:val="0"/>
        </w:rPr>
        <w:t xml:space="preserve">ice.  </w:t>
      </w:r>
      <w:r w:rsidR="000566E5">
        <w:rPr>
          <w:rFonts w:ascii="Arial" w:eastAsia="Times New Roman" w:hAnsi="Arial" w:cs="Arial"/>
          <w:snapToGrid w:val="0"/>
        </w:rPr>
        <w:t xml:space="preserve">For members hired on or after January 1, 2020 the 2.00% multiplier was replaced with a 1.75% multiplier.  </w:t>
      </w:r>
      <w:r w:rsidR="00B13AE0">
        <w:rPr>
          <w:rFonts w:ascii="Arial" w:eastAsia="Times New Roman" w:hAnsi="Arial" w:cs="Arial"/>
          <w:snapToGrid w:val="0"/>
        </w:rPr>
        <w:t>The plan permits early retirement at ages 55-64 with three or more years of service.</w:t>
      </w:r>
    </w:p>
    <w:p w14:paraId="52025E8C"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3FF1FF0B"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Members may elect to receive the pension benefits in the form of a single life, joint and survivor, term-certain annuity, or partial lump sum with ongoing annuity.  Members may elect to receive the value of their accumulated contributions, plus interest, as a lum</w:t>
      </w:r>
      <w:r w:rsidR="00BE20F5">
        <w:rPr>
          <w:rFonts w:ascii="Arial" w:eastAsia="Times New Roman" w:hAnsi="Arial" w:cs="Arial"/>
          <w:snapToGrid w:val="0"/>
        </w:rPr>
        <w:t>p</w:t>
      </w:r>
      <w:r>
        <w:rPr>
          <w:rFonts w:ascii="Arial" w:eastAsia="Times New Roman" w:hAnsi="Arial" w:cs="Arial"/>
          <w:snapToGrid w:val="0"/>
        </w:rPr>
        <w:t xml:space="preserve"> sum distribution upon retirement or termination, or they may elect to receive their benefits in the form of an annuity.  For each member electing an annuity, total payment will not be less than the members’ accumulated contributions plus interest.</w:t>
      </w:r>
    </w:p>
    <w:p w14:paraId="41D22F33"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37698813" w14:textId="77777777" w:rsidR="00B13AE0" w:rsidRPr="003E776E"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669624DB" w14:textId="77777777"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14:paraId="2910CB3D" w14:textId="77777777"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14:paraId="0451A94C" w14:textId="77777777" w:rsidR="004A5CC4"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Death and disability benefits are set by statute.  If an active member dies with less than three years of service for the Main System, a death benefit equal to the value of the member’s accumulated contributions, plus interest, is paid to the member’s beneficiary.  If the member has earned more than three years of credited service for the Main System, the surviving spouse will be entitled to a single payment refund, life-time monthly payments in an amount equal to 50% of the member’s accrued normal retirement benefit, or monthly payments in an amount equal to the member’s accrued 100% Joint and Survivor retirement benefit if the member had reached normal retirement age prior to date of death.  If the surviving spouse dies before the member’s accumulated pension benefits are paid, the balance will be payable to the surviving spouse’s designated beneficiary.</w:t>
      </w:r>
    </w:p>
    <w:p w14:paraId="4BD87CAF" w14:textId="77777777"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4B3428A1" w14:textId="77777777"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Eligible members who become totally disabled after a minimum of 180 days of service, receive monthly disability benefits equal to 25% of their final average salary with a minimum benefit of $100.  To qualify under this section, the member has to become disabled during the period of eligible employment and apply for benefits within one year of</w:t>
      </w:r>
      <w:r w:rsidR="00292BFC">
        <w:rPr>
          <w:rFonts w:ascii="Arial" w:eastAsia="Times New Roman" w:hAnsi="Arial" w:cs="Arial"/>
          <w:snapToGrid w:val="0"/>
        </w:rPr>
        <w:t xml:space="preserve"> termination.  The definition for</w:t>
      </w:r>
      <w:r>
        <w:rPr>
          <w:rFonts w:ascii="Arial" w:eastAsia="Times New Roman" w:hAnsi="Arial" w:cs="Arial"/>
          <w:snapToGrid w:val="0"/>
        </w:rPr>
        <w:t xml:space="preserve"> disabled is set by the NDPERS in the North Dakota Administrative Code.</w:t>
      </w:r>
    </w:p>
    <w:p w14:paraId="2B078746"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14:paraId="5ADD59A7" w14:textId="77777777" w:rsidR="003B3015" w:rsidRDefault="003B3015" w:rsidP="00FC7863">
      <w:pPr>
        <w:pStyle w:val="B3NotesSubHeading"/>
        <w:rPr>
          <w:rFonts w:ascii="Arial" w:hAnsi="Arial" w:cs="Arial"/>
          <w:i/>
          <w:szCs w:val="22"/>
        </w:rPr>
      </w:pPr>
    </w:p>
    <w:p w14:paraId="78C5319C" w14:textId="77777777" w:rsidR="00A710CC" w:rsidRDefault="00A710CC" w:rsidP="00FC7863">
      <w:pPr>
        <w:pStyle w:val="B3NotesSubHeading"/>
        <w:rPr>
          <w:rFonts w:ascii="Arial" w:hAnsi="Arial" w:cs="Arial"/>
          <w:i/>
          <w:szCs w:val="22"/>
        </w:rPr>
      </w:pPr>
      <w:r>
        <w:rPr>
          <w:rFonts w:ascii="Arial" w:hAnsi="Arial" w:cs="Arial"/>
          <w:i/>
          <w:szCs w:val="22"/>
        </w:rPr>
        <w:t xml:space="preserve">Refunds of Member </w:t>
      </w:r>
      <w:r w:rsidR="00B743E6">
        <w:rPr>
          <w:rFonts w:ascii="Arial" w:hAnsi="Arial" w:cs="Arial"/>
          <w:i/>
          <w:szCs w:val="22"/>
        </w:rPr>
        <w:t>Account Balance</w:t>
      </w:r>
    </w:p>
    <w:p w14:paraId="400D14A0" w14:textId="77777777" w:rsidR="00A710CC" w:rsidRDefault="00A710CC" w:rsidP="00FC7863">
      <w:pPr>
        <w:pStyle w:val="B3NotesSubHeading"/>
        <w:rPr>
          <w:rFonts w:ascii="Arial" w:hAnsi="Arial" w:cs="Arial"/>
          <w:i/>
          <w:szCs w:val="22"/>
        </w:rPr>
      </w:pPr>
    </w:p>
    <w:p w14:paraId="50DD07C7" w14:textId="77777777" w:rsidR="00A710CC" w:rsidRPr="00A710CC" w:rsidRDefault="00A710CC" w:rsidP="00FC7863">
      <w:pPr>
        <w:pStyle w:val="B3NotesSubHeading"/>
        <w:rPr>
          <w:rFonts w:ascii="Arial" w:hAnsi="Arial" w:cs="Arial"/>
          <w:b w:val="0"/>
          <w:szCs w:val="22"/>
        </w:rPr>
      </w:pPr>
      <w:r>
        <w:rPr>
          <w:rFonts w:ascii="Arial" w:hAnsi="Arial" w:cs="Arial"/>
          <w:b w:val="0"/>
          <w:szCs w:val="22"/>
        </w:rPr>
        <w:t>Upon termination, if a member of the Main System is not vested (is not 65 or does not have three years of service), they will receive the accumulated member contributions</w:t>
      </w:r>
      <w:r w:rsidR="00D21144">
        <w:rPr>
          <w:rFonts w:ascii="Arial" w:hAnsi="Arial" w:cs="Arial"/>
          <w:b w:val="0"/>
          <w:szCs w:val="22"/>
        </w:rPr>
        <w:t xml:space="preserve"> and vested employer contributions,</w:t>
      </w:r>
      <w:r>
        <w:rPr>
          <w:rFonts w:ascii="Arial" w:hAnsi="Arial" w:cs="Arial"/>
          <w:b w:val="0"/>
          <w:szCs w:val="22"/>
        </w:rPr>
        <w:t xml:space="preserve"> plus interest, or may elect to receive this amount at a later date.  If the member has vested, they have the option of applying for a refund or can remain as a terminated vested participant.  If a member terminated and withdrew their accumulated member contribution and is subsequently reemployed, they have the option of repurchasing their previous service.</w:t>
      </w:r>
    </w:p>
    <w:p w14:paraId="4A804C56" w14:textId="77777777" w:rsidR="00B81057" w:rsidRDefault="00B81057" w:rsidP="00FC7863">
      <w:pPr>
        <w:pStyle w:val="B3NotesSubHeading"/>
        <w:rPr>
          <w:rFonts w:ascii="Arial" w:hAnsi="Arial" w:cs="Arial"/>
          <w:i/>
          <w:szCs w:val="22"/>
        </w:rPr>
      </w:pPr>
    </w:p>
    <w:p w14:paraId="266D8FBD" w14:textId="77777777" w:rsidR="0063663C" w:rsidRDefault="0063663C" w:rsidP="00FC7863">
      <w:pPr>
        <w:pStyle w:val="B3NotesSubHeading"/>
        <w:rPr>
          <w:rFonts w:ascii="Arial" w:hAnsi="Arial" w:cs="Arial"/>
          <w:i/>
          <w:szCs w:val="22"/>
        </w:rPr>
      </w:pPr>
    </w:p>
    <w:p w14:paraId="242388A6" w14:textId="642CD17D" w:rsidR="00596A60" w:rsidRDefault="00B41811" w:rsidP="00FC7863">
      <w:pPr>
        <w:pStyle w:val="B3NotesSubHeading"/>
        <w:rPr>
          <w:rFonts w:ascii="Arial" w:hAnsi="Arial" w:cs="Arial"/>
          <w:i/>
          <w:szCs w:val="22"/>
        </w:rPr>
      </w:pPr>
      <w:r>
        <w:rPr>
          <w:rFonts w:ascii="Arial" w:hAnsi="Arial" w:cs="Arial"/>
          <w:i/>
          <w:szCs w:val="22"/>
        </w:rPr>
        <w:lastRenderedPageBreak/>
        <w:t xml:space="preserve">Member and Employer </w:t>
      </w:r>
      <w:r w:rsidR="00A27937" w:rsidRPr="00FC7863">
        <w:rPr>
          <w:rFonts w:ascii="Arial" w:hAnsi="Arial" w:cs="Arial"/>
          <w:i/>
          <w:szCs w:val="22"/>
        </w:rPr>
        <w:t>Contributions</w:t>
      </w:r>
      <w:r w:rsidR="004A5CC4" w:rsidRPr="00FC7863">
        <w:rPr>
          <w:rFonts w:ascii="Arial" w:hAnsi="Arial" w:cs="Arial"/>
          <w:i/>
          <w:szCs w:val="22"/>
        </w:rPr>
        <w:t xml:space="preserve"> </w:t>
      </w:r>
    </w:p>
    <w:p w14:paraId="023E14E3" w14:textId="77777777" w:rsidR="00A27937" w:rsidRPr="00FC7863" w:rsidRDefault="00A27937" w:rsidP="00FC7863">
      <w:pPr>
        <w:pStyle w:val="B1Text"/>
        <w:rPr>
          <w:rFonts w:ascii="Arial" w:hAnsi="Arial" w:cs="Arial"/>
          <w:b/>
          <w:i/>
          <w:sz w:val="22"/>
          <w:szCs w:val="22"/>
        </w:rPr>
      </w:pPr>
    </w:p>
    <w:p w14:paraId="22B3EE02" w14:textId="77777777" w:rsidR="00FB0602" w:rsidRDefault="004A5CC4" w:rsidP="003B3015">
      <w:pPr>
        <w:pStyle w:val="B1Text"/>
        <w:rPr>
          <w:rFonts w:ascii="Arial" w:hAnsi="Arial" w:cs="Arial"/>
          <w:sz w:val="22"/>
          <w:szCs w:val="22"/>
        </w:rPr>
      </w:pPr>
      <w:r w:rsidRPr="00FC7863">
        <w:rPr>
          <w:rFonts w:ascii="Arial" w:hAnsi="Arial" w:cs="Arial"/>
          <w:sz w:val="22"/>
          <w:szCs w:val="22"/>
        </w:rPr>
        <w:t>Member and employer contribu</w:t>
      </w:r>
      <w:r w:rsidR="00B41811">
        <w:rPr>
          <w:rFonts w:ascii="Arial" w:hAnsi="Arial" w:cs="Arial"/>
          <w:sz w:val="22"/>
          <w:szCs w:val="22"/>
        </w:rPr>
        <w:t>tions paid to NDPERS</w:t>
      </w:r>
      <w:r w:rsidRPr="00FC7863">
        <w:rPr>
          <w:rFonts w:ascii="Arial" w:hAnsi="Arial" w:cs="Arial"/>
          <w:sz w:val="22"/>
          <w:szCs w:val="22"/>
        </w:rPr>
        <w:t xml:space="preserve"> are set by </w:t>
      </w:r>
      <w:r w:rsidR="00B41811">
        <w:rPr>
          <w:rFonts w:ascii="Arial" w:hAnsi="Arial" w:cs="Arial"/>
          <w:sz w:val="22"/>
          <w:szCs w:val="22"/>
        </w:rPr>
        <w:t>statute and are established as a</w:t>
      </w:r>
      <w:r w:rsidR="00B81057">
        <w:rPr>
          <w:rFonts w:ascii="Arial" w:hAnsi="Arial" w:cs="Arial"/>
          <w:sz w:val="22"/>
          <w:szCs w:val="22"/>
        </w:rPr>
        <w:t xml:space="preserve"> percent of salaries and wages</w:t>
      </w:r>
      <w:r w:rsidR="00B41811">
        <w:rPr>
          <w:rFonts w:ascii="Arial" w:hAnsi="Arial" w:cs="Arial"/>
          <w:sz w:val="22"/>
          <w:szCs w:val="22"/>
        </w:rPr>
        <w:t xml:space="preserve">.  </w:t>
      </w:r>
      <w:r w:rsidR="00B743E6">
        <w:rPr>
          <w:rFonts w:ascii="Arial" w:hAnsi="Arial" w:cs="Arial"/>
          <w:sz w:val="22"/>
          <w:szCs w:val="22"/>
        </w:rPr>
        <w:t>M</w:t>
      </w:r>
      <w:r w:rsidR="00B41811">
        <w:rPr>
          <w:rFonts w:ascii="Arial" w:hAnsi="Arial" w:cs="Arial"/>
          <w:sz w:val="22"/>
          <w:szCs w:val="22"/>
        </w:rPr>
        <w:t xml:space="preserve">ember contribution rates are 7% and employer </w:t>
      </w:r>
      <w:r w:rsidR="00540BCC">
        <w:rPr>
          <w:rFonts w:ascii="Arial" w:hAnsi="Arial" w:cs="Arial"/>
          <w:sz w:val="22"/>
          <w:szCs w:val="22"/>
        </w:rPr>
        <w:t>contribution</w:t>
      </w:r>
      <w:r w:rsidR="00191015">
        <w:rPr>
          <w:rFonts w:ascii="Arial" w:hAnsi="Arial" w:cs="Arial"/>
          <w:sz w:val="22"/>
          <w:szCs w:val="22"/>
        </w:rPr>
        <w:t xml:space="preserve"> </w:t>
      </w:r>
      <w:r w:rsidR="00B41811">
        <w:rPr>
          <w:rFonts w:ascii="Arial" w:hAnsi="Arial" w:cs="Arial"/>
          <w:sz w:val="22"/>
          <w:szCs w:val="22"/>
        </w:rPr>
        <w:t>rates are 7.12% of covered compensation</w:t>
      </w:r>
      <w:r w:rsidR="003B3015">
        <w:rPr>
          <w:rFonts w:ascii="Arial" w:hAnsi="Arial" w:cs="Arial"/>
          <w:sz w:val="22"/>
          <w:szCs w:val="22"/>
        </w:rPr>
        <w:t>.</w:t>
      </w:r>
      <w:r w:rsidR="000566E5">
        <w:rPr>
          <w:rFonts w:ascii="Arial" w:hAnsi="Arial" w:cs="Arial"/>
          <w:sz w:val="22"/>
          <w:szCs w:val="22"/>
        </w:rPr>
        <w:t xml:space="preserve">  For members hired on or after January 1, 2020 member contribution rates are 7% and employer contribution rates are 8.26% of covered compensation</w:t>
      </w:r>
    </w:p>
    <w:p w14:paraId="6BBE7647" w14:textId="77777777" w:rsidR="00B81057" w:rsidRDefault="00B81057" w:rsidP="003B3015">
      <w:pPr>
        <w:pStyle w:val="B1Text"/>
        <w:rPr>
          <w:rFonts w:ascii="Arial" w:hAnsi="Arial" w:cs="Arial"/>
          <w:sz w:val="22"/>
          <w:szCs w:val="22"/>
        </w:rPr>
      </w:pPr>
    </w:p>
    <w:p w14:paraId="04CC7171" w14:textId="77777777" w:rsidR="00B81057" w:rsidRDefault="00B81057" w:rsidP="00B81057">
      <w:pPr>
        <w:pStyle w:val="B1Text"/>
        <w:rPr>
          <w:rFonts w:ascii="Arial" w:hAnsi="Arial" w:cs="Arial"/>
          <w:sz w:val="22"/>
          <w:szCs w:val="22"/>
        </w:rPr>
      </w:pPr>
      <w:r>
        <w:rPr>
          <w:rFonts w:ascii="Arial" w:hAnsi="Arial" w:cs="Arial"/>
          <w:sz w:val="22"/>
          <w:szCs w:val="22"/>
        </w:rPr>
        <w:t>The member’s account balance includes the vested employer contributions equal to the member’s contributions to an eligible deferred compensation plan. The minimum member contribution is $25 and the maximum may not exceed the following:</w:t>
      </w:r>
    </w:p>
    <w:p w14:paraId="3228A20A" w14:textId="77777777" w:rsidR="00B81057" w:rsidRDefault="00B81057" w:rsidP="00B81057">
      <w:pPr>
        <w:pStyle w:val="B1Text"/>
        <w:rPr>
          <w:rFonts w:ascii="Arial" w:hAnsi="Arial" w:cs="Arial"/>
          <w:sz w:val="22"/>
          <w:szCs w:val="22"/>
        </w:rPr>
      </w:pPr>
      <w:r>
        <w:rPr>
          <w:rFonts w:ascii="Arial" w:hAnsi="Arial" w:cs="Arial"/>
          <w:sz w:val="22"/>
          <w:szCs w:val="22"/>
        </w:rPr>
        <w:tab/>
        <w:t>1 to 12 months of service – Greater of one percent of monthly salary or $25</w:t>
      </w:r>
    </w:p>
    <w:p w14:paraId="5BDD36FE" w14:textId="77777777" w:rsidR="00B81057" w:rsidRDefault="00B81057" w:rsidP="00B81057">
      <w:pPr>
        <w:pStyle w:val="B1Text"/>
        <w:rPr>
          <w:rFonts w:ascii="Arial" w:hAnsi="Arial" w:cs="Arial"/>
          <w:sz w:val="22"/>
          <w:szCs w:val="22"/>
        </w:rPr>
      </w:pPr>
      <w:r>
        <w:rPr>
          <w:rFonts w:ascii="Arial" w:hAnsi="Arial" w:cs="Arial"/>
          <w:sz w:val="22"/>
          <w:szCs w:val="22"/>
        </w:rPr>
        <w:tab/>
        <w:t>13 to 24 months of service – Greater of two percent of monthly salary or $25</w:t>
      </w:r>
    </w:p>
    <w:p w14:paraId="5093948D" w14:textId="77777777" w:rsidR="00B81057" w:rsidRDefault="00B81057" w:rsidP="00B81057">
      <w:pPr>
        <w:pStyle w:val="B1Text"/>
        <w:rPr>
          <w:rFonts w:ascii="Arial" w:hAnsi="Arial" w:cs="Arial"/>
          <w:sz w:val="22"/>
          <w:szCs w:val="22"/>
        </w:rPr>
      </w:pPr>
      <w:r>
        <w:rPr>
          <w:rFonts w:ascii="Arial" w:hAnsi="Arial" w:cs="Arial"/>
          <w:sz w:val="22"/>
          <w:szCs w:val="22"/>
        </w:rPr>
        <w:tab/>
        <w:t>25 to 36 months of service – Greater of three percent of monthly salary or $25</w:t>
      </w:r>
    </w:p>
    <w:p w14:paraId="48B6BCBD" w14:textId="77777777" w:rsidR="00B81057" w:rsidRDefault="00B81057" w:rsidP="00B81057">
      <w:pPr>
        <w:pStyle w:val="B1Text"/>
        <w:rPr>
          <w:rFonts w:ascii="Arial" w:hAnsi="Arial" w:cs="Arial"/>
          <w:sz w:val="22"/>
          <w:szCs w:val="22"/>
        </w:rPr>
      </w:pPr>
      <w:r>
        <w:rPr>
          <w:rFonts w:ascii="Arial" w:hAnsi="Arial" w:cs="Arial"/>
          <w:sz w:val="22"/>
          <w:szCs w:val="22"/>
        </w:rPr>
        <w:tab/>
        <w:t>Longer than 36 months of service – Greater of four percent of monthly salary or $25</w:t>
      </w:r>
    </w:p>
    <w:p w14:paraId="25737E7F" w14:textId="77777777" w:rsidR="009B0062" w:rsidRDefault="009B0062" w:rsidP="003B3015">
      <w:pPr>
        <w:pStyle w:val="B1Text"/>
        <w:rPr>
          <w:rFonts w:ascii="Arial" w:hAnsi="Arial" w:cs="Arial"/>
          <w:sz w:val="22"/>
          <w:szCs w:val="22"/>
        </w:rPr>
      </w:pPr>
    </w:p>
    <w:p w14:paraId="5AC88DD3" w14:textId="77777777"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14:paraId="5AF5C0A0" w14:textId="77777777"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14:paraId="20EBA653"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0B587CB9" w14:textId="77777777"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w:t>
      </w:r>
      <w:proofErr w:type="spellStart"/>
      <w:r w:rsidR="000D57CA">
        <w:rPr>
          <w:rFonts w:ascii="Arial" w:hAnsi="Arial" w:cs="Arial"/>
          <w:color w:val="252525"/>
          <w:highlight w:val="yellow"/>
        </w:rPr>
        <w:t>yy</w:t>
      </w:r>
      <w:r w:rsidR="000D57CA" w:rsidRPr="000D57CA">
        <w:rPr>
          <w:rFonts w:ascii="Arial" w:hAnsi="Arial" w:cs="Arial"/>
          <w:color w:val="252525"/>
          <w:highlight w:val="yellow"/>
        </w:rPr>
        <w:t>yy</w:t>
      </w:r>
      <w:proofErr w:type="spellEnd"/>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(from</w:t>
      </w:r>
      <w:r w:rsidR="00276776">
        <w:rPr>
          <w:rFonts w:ascii="Arial" w:hAnsi="Arial" w:cs="Arial"/>
          <w:color w:val="FF0000"/>
        </w:rPr>
        <w:t xml:space="preserve"> </w:t>
      </w:r>
      <w:r w:rsidR="00834450">
        <w:rPr>
          <w:rFonts w:ascii="Arial" w:hAnsi="Arial" w:cs="Arial"/>
          <w:color w:val="FF0000"/>
        </w:rPr>
        <w:t xml:space="preserve">Section </w:t>
      </w:r>
      <w:r w:rsidR="003A3063">
        <w:rPr>
          <w:rFonts w:ascii="Arial" w:hAnsi="Arial" w:cs="Arial"/>
          <w:color w:val="FF0000"/>
        </w:rPr>
        <w:t>E, Schedule of Net Pension Liability by Employer</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Pr="00FC7863">
        <w:rPr>
          <w:rFonts w:ascii="Arial" w:hAnsi="Arial" w:cs="Arial"/>
          <w:color w:val="252525"/>
        </w:rPr>
        <w:t xml:space="preserve">, </w:t>
      </w:r>
      <w:r w:rsidR="00276776">
        <w:rPr>
          <w:rFonts w:ascii="Arial" w:hAnsi="Arial" w:cs="Arial"/>
          <w:color w:val="FF0000"/>
        </w:rPr>
        <w:t>(</w:t>
      </w:r>
      <w:r w:rsidR="003A3063">
        <w:rPr>
          <w:rFonts w:ascii="Arial" w:hAnsi="Arial" w:cs="Arial"/>
          <w:color w:val="FF0000"/>
        </w:rPr>
        <w:t>date of NDPERS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 xml:space="preserve">the </w:t>
      </w:r>
      <w:r w:rsidR="00276776">
        <w:rPr>
          <w:rFonts w:ascii="Arial" w:hAnsi="Arial" w:cs="Arial"/>
          <w:color w:val="252525"/>
        </w:rPr>
        <w:t xml:space="preserve">Main System </w:t>
      </w:r>
      <w:r w:rsidRPr="00FC7863">
        <w:rPr>
          <w:rFonts w:ascii="Arial" w:hAnsi="Arial" w:cs="Arial"/>
          <w:color w:val="252525"/>
        </w:rPr>
        <w:t>pension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276776">
        <w:rPr>
          <w:rFonts w:ascii="Arial" w:hAnsi="Arial" w:cs="Arial"/>
          <w:color w:val="252525"/>
        </w:rPr>
        <w:t xml:space="preserve"> </w:t>
      </w:r>
      <w:r w:rsidR="000D15F2">
        <w:rPr>
          <w:rFonts w:ascii="Arial" w:hAnsi="Arial" w:cs="Arial"/>
          <w:color w:val="252525"/>
        </w:rPr>
        <w:t>Main System</w:t>
      </w:r>
      <w:r w:rsidR="00546C0B">
        <w:rPr>
          <w:rFonts w:ascii="Arial" w:hAnsi="Arial" w:cs="Arial"/>
          <w:color w:val="252525"/>
        </w:rPr>
        <w:t xml:space="preserve">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w:t>
      </w:r>
      <w:proofErr w:type="spellStart"/>
      <w:r w:rsidR="000D57CA">
        <w:rPr>
          <w:rFonts w:ascii="Arial" w:hAnsi="Arial" w:cs="Arial"/>
          <w:highlight w:val="yellow"/>
        </w:rPr>
        <w:t>yyyy</w:t>
      </w:r>
      <w:proofErr w:type="spellEnd"/>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w:t>
      </w:r>
      <w:r w:rsidR="003A3063">
        <w:rPr>
          <w:rFonts w:ascii="Arial" w:hAnsi="Arial" w:cs="Arial"/>
          <w:color w:val="FF0000"/>
        </w:rPr>
        <w:t>from Section E, Schedule of Net Pension Liability by Employer</w:t>
      </w:r>
      <w:r w:rsidR="00B466DF" w:rsidRPr="004D74BC">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14:paraId="5CB56C05"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14:paraId="36FDD91A" w14:textId="77777777"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p>
    <w:p w14:paraId="437E99C1"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14:paraId="6ADD5CC0" w14:textId="77777777"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14:paraId="493C1135" w14:textId="77777777" w:rsidR="00067FA6" w:rsidRDefault="00067FA6" w:rsidP="00FC7863">
      <w:pPr>
        <w:widowControl w:val="0"/>
        <w:suppressAutoHyphens/>
        <w:autoSpaceDE w:val="0"/>
        <w:autoSpaceDN w:val="0"/>
        <w:adjustRightInd w:val="0"/>
        <w:spacing w:after="0" w:line="240" w:lineRule="auto"/>
        <w:rPr>
          <w:rFonts w:ascii="Arial" w:hAnsi="Arial" w:cs="Arial"/>
          <w:color w:val="252525"/>
        </w:rPr>
      </w:pPr>
    </w:p>
    <w:p w14:paraId="206D07FB" w14:textId="77777777" w:rsidR="002A7845"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w:t>
      </w:r>
      <w:r w:rsidR="00D7576E" w:rsidRPr="00E665B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Pension Amounts by Employer</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D7576E" w:rsidRPr="00C81A1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p w14:paraId="11D7E6FA"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22C4C08A"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711B3F0D"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3D4EDC85"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156EAB77"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51B4C334"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14:paraId="4DFFCCE3" w14:textId="77777777">
        <w:tc>
          <w:tcPr>
            <w:tcW w:w="3120" w:type="dxa"/>
            <w:tcBorders>
              <w:top w:val="nil"/>
              <w:left w:val="nil"/>
              <w:bottom w:val="nil"/>
              <w:right w:val="nil"/>
            </w:tcBorders>
            <w:tcMar>
              <w:top w:w="20" w:type="dxa"/>
              <w:left w:w="20" w:type="dxa"/>
              <w:bottom w:w="20" w:type="dxa"/>
              <w:right w:w="20" w:type="dxa"/>
            </w:tcMar>
            <w:vAlign w:val="bottom"/>
          </w:tcPr>
          <w:p w14:paraId="1EB18CF7"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1C79A8DD"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14:paraId="024FE48E"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14:paraId="3E83089C" w14:textId="77777777" w:rsidTr="00922F57">
        <w:trPr>
          <w:trHeight w:val="70"/>
        </w:trPr>
        <w:tc>
          <w:tcPr>
            <w:tcW w:w="9360" w:type="dxa"/>
            <w:gridSpan w:val="3"/>
            <w:tcBorders>
              <w:top w:val="nil"/>
              <w:left w:val="nil"/>
              <w:bottom w:val="nil"/>
              <w:right w:val="nil"/>
            </w:tcBorders>
            <w:tcMar>
              <w:top w:w="20" w:type="dxa"/>
              <w:left w:w="20" w:type="dxa"/>
              <w:bottom w:w="20" w:type="dxa"/>
              <w:right w:w="20" w:type="dxa"/>
            </w:tcMar>
          </w:tcPr>
          <w:p w14:paraId="69640E3C"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14:paraId="76E3C29C" w14:textId="77777777">
        <w:tc>
          <w:tcPr>
            <w:tcW w:w="3120" w:type="dxa"/>
            <w:tcBorders>
              <w:top w:val="nil"/>
              <w:left w:val="nil"/>
              <w:bottom w:val="nil"/>
              <w:right w:val="nil"/>
            </w:tcBorders>
            <w:tcMar>
              <w:top w:w="20" w:type="dxa"/>
              <w:left w:w="20" w:type="dxa"/>
              <w:bottom w:w="20" w:type="dxa"/>
              <w:right w:w="20" w:type="dxa"/>
            </w:tcMar>
            <w:vAlign w:val="bottom"/>
          </w:tcPr>
          <w:p w14:paraId="43EE2954"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14:paraId="22B4617F" w14:textId="77777777"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14:paraId="7D0D00C7" w14:textId="77777777"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45C4A13F" w14:textId="77777777">
        <w:tc>
          <w:tcPr>
            <w:tcW w:w="3120" w:type="dxa"/>
            <w:tcBorders>
              <w:top w:val="nil"/>
              <w:left w:val="nil"/>
              <w:bottom w:val="nil"/>
              <w:right w:val="nil"/>
            </w:tcBorders>
            <w:tcMar>
              <w:top w:w="20" w:type="dxa"/>
              <w:left w:w="20" w:type="dxa"/>
              <w:bottom w:w="20" w:type="dxa"/>
              <w:right w:w="20" w:type="dxa"/>
            </w:tcMar>
            <w:vAlign w:val="bottom"/>
          </w:tcPr>
          <w:p w14:paraId="1AADBF4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14:paraId="1690C4B7" w14:textId="77777777"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4AD76EDB"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154A6E3C" w14:textId="77777777">
        <w:tc>
          <w:tcPr>
            <w:tcW w:w="3120" w:type="dxa"/>
            <w:tcBorders>
              <w:top w:val="nil"/>
              <w:left w:val="nil"/>
              <w:bottom w:val="nil"/>
              <w:right w:val="nil"/>
            </w:tcBorders>
            <w:tcMar>
              <w:top w:w="20" w:type="dxa"/>
              <w:left w:w="20" w:type="dxa"/>
              <w:bottom w:w="20" w:type="dxa"/>
              <w:right w:w="20" w:type="dxa"/>
            </w:tcMar>
            <w:vAlign w:val="bottom"/>
          </w:tcPr>
          <w:p w14:paraId="236AD7FD"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14:paraId="54ECC02D" w14:textId="77777777"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19957231" w14:textId="77777777"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7C9E8A20" w14:textId="77777777">
        <w:tc>
          <w:tcPr>
            <w:tcW w:w="3120" w:type="dxa"/>
            <w:tcBorders>
              <w:top w:val="nil"/>
              <w:left w:val="nil"/>
              <w:bottom w:val="nil"/>
              <w:right w:val="nil"/>
            </w:tcBorders>
            <w:tcMar>
              <w:top w:w="20" w:type="dxa"/>
              <w:left w:w="20" w:type="dxa"/>
              <w:bottom w:w="20" w:type="dxa"/>
              <w:right w:w="20" w:type="dxa"/>
            </w:tcMar>
            <w:vAlign w:val="bottom"/>
          </w:tcPr>
          <w:p w14:paraId="6373C29F" w14:textId="77777777"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14:paraId="6AFE2AE5"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33C08AEE"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14:paraId="7B338FBF" w14:textId="77777777">
        <w:tc>
          <w:tcPr>
            <w:tcW w:w="3120" w:type="dxa"/>
            <w:tcBorders>
              <w:top w:val="nil"/>
              <w:left w:val="nil"/>
              <w:bottom w:val="nil"/>
              <w:right w:val="nil"/>
            </w:tcBorders>
            <w:tcMar>
              <w:top w:w="20" w:type="dxa"/>
              <w:left w:w="20" w:type="dxa"/>
              <w:bottom w:w="20" w:type="dxa"/>
              <w:right w:w="20" w:type="dxa"/>
            </w:tcMar>
            <w:vAlign w:val="bottom"/>
          </w:tcPr>
          <w:p w14:paraId="6925DA45" w14:textId="77777777"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14:paraId="6C337197" w14:textId="77777777"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14:paraId="0C99969C" w14:textId="77777777"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14:paraId="656DD1B1" w14:textId="77777777">
        <w:tc>
          <w:tcPr>
            <w:tcW w:w="3120" w:type="dxa"/>
            <w:tcBorders>
              <w:top w:val="nil"/>
              <w:left w:val="nil"/>
              <w:bottom w:val="nil"/>
              <w:right w:val="nil"/>
            </w:tcBorders>
            <w:tcMar>
              <w:top w:w="20" w:type="dxa"/>
              <w:left w:w="20" w:type="dxa"/>
              <w:bottom w:w="20" w:type="dxa"/>
              <w:right w:w="20" w:type="dxa"/>
            </w:tcMar>
            <w:vAlign w:val="bottom"/>
          </w:tcPr>
          <w:p w14:paraId="041E919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14:paraId="23C51E5C" w14:textId="77777777"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14:paraId="5C2A7F98" w14:textId="77777777"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14:paraId="408C8540" w14:textId="77777777">
        <w:tc>
          <w:tcPr>
            <w:tcW w:w="3120" w:type="dxa"/>
            <w:tcBorders>
              <w:top w:val="nil"/>
              <w:left w:val="nil"/>
              <w:bottom w:val="nil"/>
              <w:right w:val="nil"/>
            </w:tcBorders>
            <w:tcMar>
              <w:top w:w="20" w:type="dxa"/>
              <w:left w:w="20" w:type="dxa"/>
              <w:bottom w:w="20" w:type="dxa"/>
              <w:right w:w="20" w:type="dxa"/>
            </w:tcMar>
            <w:vAlign w:val="bottom"/>
          </w:tcPr>
          <w:p w14:paraId="41126D96"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7B02D7C0" w14:textId="77777777"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14:paraId="371BCCCC" w14:textId="77777777"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14:paraId="2F03C7CD" w14:textId="77777777">
        <w:tc>
          <w:tcPr>
            <w:tcW w:w="3120" w:type="dxa"/>
            <w:tcBorders>
              <w:top w:val="nil"/>
              <w:left w:val="nil"/>
              <w:bottom w:val="nil"/>
              <w:right w:val="nil"/>
            </w:tcBorders>
            <w:tcMar>
              <w:top w:w="20" w:type="dxa"/>
              <w:left w:w="20" w:type="dxa"/>
              <w:bottom w:w="20" w:type="dxa"/>
              <w:right w:w="20" w:type="dxa"/>
            </w:tcMar>
            <w:vAlign w:val="bottom"/>
          </w:tcPr>
          <w:p w14:paraId="69E0CB9A"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6FEFCD9A" w14:textId="77777777"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14:paraId="5DAF740C" w14:textId="77777777"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14:paraId="3F14DC57" w14:textId="77777777"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14:paraId="1E55B96B" w14:textId="77777777"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14:paraId="59B7001B" w14:textId="77777777"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1E2E53" w:rsidRPr="002875B3">
        <w:rPr>
          <w:rFonts w:ascii="Arial" w:hAnsi="Arial" w:cs="Arial"/>
          <w:color w:val="FF0000"/>
        </w:rPr>
        <w:t>from</w:t>
      </w:r>
      <w:r w:rsidR="004830F3">
        <w:rPr>
          <w:rFonts w:ascii="Arial" w:hAnsi="Arial" w:cs="Arial"/>
          <w:color w:val="FF0000"/>
        </w:rPr>
        <w:t xml:space="preserve"> </w:t>
      </w:r>
      <w:r w:rsidR="00DC62AD">
        <w:rPr>
          <w:rFonts w:ascii="Arial" w:hAnsi="Arial" w:cs="Arial"/>
          <w:color w:val="FF0000"/>
        </w:rPr>
        <w:t>Sect</w:t>
      </w:r>
      <w:r w:rsidR="00C6620A">
        <w:rPr>
          <w:rFonts w:ascii="Arial" w:hAnsi="Arial" w:cs="Arial"/>
          <w:color w:val="FF0000"/>
        </w:rPr>
        <w:t xml:space="preserve">ion </w:t>
      </w:r>
      <w:r w:rsidR="0022661E">
        <w:rPr>
          <w:rFonts w:ascii="Arial" w:hAnsi="Arial" w:cs="Arial"/>
          <w:color w:val="FF0000"/>
        </w:rPr>
        <w:t>E</w:t>
      </w:r>
      <w:r w:rsidR="00C6620A">
        <w:rPr>
          <w:rFonts w:ascii="Arial" w:hAnsi="Arial" w:cs="Arial"/>
          <w:color w:val="FF0000"/>
        </w:rPr>
        <w:t xml:space="preserve">, </w:t>
      </w:r>
      <w:r w:rsidR="0022661E">
        <w:rPr>
          <w:rFonts w:ascii="Arial" w:hAnsi="Arial" w:cs="Arial"/>
          <w:color w:val="FF0000"/>
        </w:rPr>
        <w:t>Schedule of Net Deferred Outflows and Inflows by Year By Employer</w:t>
      </w:r>
      <w:r w:rsidR="00C6620A">
        <w:rPr>
          <w:rFonts w:ascii="Arial" w:hAnsi="Arial" w:cs="Arial"/>
          <w:color w:val="FF0000"/>
        </w:rPr>
        <w:t>)</w:t>
      </w:r>
      <w:r w:rsidR="00DC62AD">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14:paraId="432FE30D" w14:textId="77777777">
        <w:tc>
          <w:tcPr>
            <w:tcW w:w="4680" w:type="dxa"/>
            <w:tcBorders>
              <w:top w:val="nil"/>
              <w:left w:val="nil"/>
              <w:bottom w:val="nil"/>
              <w:right w:val="nil"/>
            </w:tcBorders>
            <w:tcMar>
              <w:top w:w="20" w:type="dxa"/>
              <w:left w:w="20" w:type="dxa"/>
              <w:bottom w:w="20" w:type="dxa"/>
              <w:right w:w="20" w:type="dxa"/>
            </w:tcMar>
            <w:vAlign w:val="bottom"/>
          </w:tcPr>
          <w:p w14:paraId="5C8BFB86" w14:textId="77777777"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14:paraId="013D3D38"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14:paraId="25623249"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14:paraId="7A3670B5" w14:textId="77777777">
        <w:tc>
          <w:tcPr>
            <w:tcW w:w="4680" w:type="dxa"/>
            <w:tcBorders>
              <w:top w:val="nil"/>
              <w:left w:val="nil"/>
              <w:bottom w:val="nil"/>
              <w:right w:val="nil"/>
            </w:tcBorders>
            <w:tcMar>
              <w:top w:w="20" w:type="dxa"/>
              <w:left w:w="20" w:type="dxa"/>
              <w:bottom w:w="20" w:type="dxa"/>
              <w:right w:w="20" w:type="dxa"/>
            </w:tcMar>
            <w:vAlign w:val="bottom"/>
          </w:tcPr>
          <w:p w14:paraId="1F264879" w14:textId="5881E068"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0566E5">
              <w:rPr>
                <w:rFonts w:ascii="Arial" w:hAnsi="Arial" w:cs="Arial"/>
                <w:color w:val="252525"/>
              </w:rPr>
              <w:t>2</w:t>
            </w:r>
            <w:r w:rsidR="003A1A97">
              <w:rPr>
                <w:rFonts w:ascii="Arial" w:hAnsi="Arial" w:cs="Arial"/>
                <w:color w:val="252525"/>
              </w:rPr>
              <w:t>4</w:t>
            </w:r>
          </w:p>
        </w:tc>
        <w:tc>
          <w:tcPr>
            <w:tcW w:w="4680" w:type="dxa"/>
            <w:tcBorders>
              <w:top w:val="nil"/>
              <w:left w:val="nil"/>
              <w:bottom w:val="nil"/>
              <w:right w:val="nil"/>
            </w:tcBorders>
            <w:tcMar>
              <w:top w:w="20" w:type="dxa"/>
              <w:left w:w="20" w:type="dxa"/>
              <w:bottom w:w="20" w:type="dxa"/>
              <w:right w:w="20" w:type="dxa"/>
            </w:tcMar>
            <w:vAlign w:val="bottom"/>
          </w:tcPr>
          <w:p w14:paraId="1AB7048E" w14:textId="77777777"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14:paraId="52C0CB5F" w14:textId="77777777">
        <w:tc>
          <w:tcPr>
            <w:tcW w:w="4680" w:type="dxa"/>
            <w:tcBorders>
              <w:top w:val="nil"/>
              <w:left w:val="nil"/>
              <w:bottom w:val="nil"/>
              <w:right w:val="nil"/>
            </w:tcBorders>
            <w:tcMar>
              <w:top w:w="20" w:type="dxa"/>
              <w:left w:w="20" w:type="dxa"/>
              <w:bottom w:w="20" w:type="dxa"/>
              <w:right w:w="20" w:type="dxa"/>
            </w:tcMar>
            <w:vAlign w:val="bottom"/>
          </w:tcPr>
          <w:p w14:paraId="158EC7A4" w14:textId="317088B7"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078">
              <w:rPr>
                <w:rFonts w:ascii="Arial" w:hAnsi="Arial" w:cs="Arial"/>
                <w:color w:val="252525"/>
              </w:rPr>
              <w:t>2</w:t>
            </w:r>
            <w:r w:rsidR="003A1A97">
              <w:rPr>
                <w:rFonts w:ascii="Arial" w:hAnsi="Arial" w:cs="Arial"/>
                <w:color w:val="252525"/>
              </w:rPr>
              <w:t>5</w:t>
            </w:r>
          </w:p>
        </w:tc>
        <w:tc>
          <w:tcPr>
            <w:tcW w:w="4680" w:type="dxa"/>
            <w:tcBorders>
              <w:top w:val="nil"/>
              <w:left w:val="nil"/>
              <w:bottom w:val="nil"/>
              <w:right w:val="nil"/>
            </w:tcBorders>
            <w:tcMar>
              <w:top w:w="20" w:type="dxa"/>
              <w:left w:w="20" w:type="dxa"/>
              <w:bottom w:w="20" w:type="dxa"/>
              <w:right w:w="20" w:type="dxa"/>
            </w:tcMar>
            <w:vAlign w:val="bottom"/>
          </w:tcPr>
          <w:p w14:paraId="218DAA08"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5C796434" w14:textId="77777777">
        <w:tc>
          <w:tcPr>
            <w:tcW w:w="4680" w:type="dxa"/>
            <w:tcBorders>
              <w:top w:val="nil"/>
              <w:left w:val="nil"/>
              <w:bottom w:val="nil"/>
              <w:right w:val="nil"/>
            </w:tcBorders>
            <w:tcMar>
              <w:top w:w="20" w:type="dxa"/>
              <w:left w:w="20" w:type="dxa"/>
              <w:bottom w:w="20" w:type="dxa"/>
              <w:right w:w="20" w:type="dxa"/>
            </w:tcMar>
            <w:vAlign w:val="bottom"/>
          </w:tcPr>
          <w:p w14:paraId="4946ECE1" w14:textId="4D241C87"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w:t>
            </w:r>
            <w:r w:rsidR="003A1A97">
              <w:rPr>
                <w:rFonts w:ascii="Arial" w:hAnsi="Arial" w:cs="Arial"/>
                <w:color w:val="252525"/>
              </w:rPr>
              <w:t>6</w:t>
            </w:r>
          </w:p>
        </w:tc>
        <w:tc>
          <w:tcPr>
            <w:tcW w:w="4680" w:type="dxa"/>
            <w:tcBorders>
              <w:top w:val="nil"/>
              <w:left w:val="nil"/>
              <w:bottom w:val="nil"/>
              <w:right w:val="nil"/>
            </w:tcBorders>
            <w:tcMar>
              <w:top w:w="20" w:type="dxa"/>
              <w:left w:w="20" w:type="dxa"/>
              <w:bottom w:w="20" w:type="dxa"/>
              <w:right w:w="20" w:type="dxa"/>
            </w:tcMar>
            <w:vAlign w:val="bottom"/>
          </w:tcPr>
          <w:p w14:paraId="40FA46C2"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6337A1F2" w14:textId="77777777">
        <w:tc>
          <w:tcPr>
            <w:tcW w:w="4680" w:type="dxa"/>
            <w:tcBorders>
              <w:top w:val="nil"/>
              <w:left w:val="nil"/>
              <w:bottom w:val="nil"/>
              <w:right w:val="nil"/>
            </w:tcBorders>
            <w:tcMar>
              <w:top w:w="20" w:type="dxa"/>
              <w:left w:w="20" w:type="dxa"/>
              <w:bottom w:w="20" w:type="dxa"/>
              <w:right w:w="20" w:type="dxa"/>
            </w:tcMar>
            <w:vAlign w:val="bottom"/>
          </w:tcPr>
          <w:p w14:paraId="38061607" w14:textId="7BCF5FAD"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w:t>
            </w:r>
            <w:r w:rsidR="003A1A97">
              <w:rPr>
                <w:rFonts w:ascii="Arial" w:hAnsi="Arial" w:cs="Arial"/>
                <w:color w:val="252525"/>
              </w:rPr>
              <w:t>7</w:t>
            </w:r>
          </w:p>
        </w:tc>
        <w:tc>
          <w:tcPr>
            <w:tcW w:w="4680" w:type="dxa"/>
            <w:tcBorders>
              <w:top w:val="nil"/>
              <w:left w:val="nil"/>
              <w:bottom w:val="nil"/>
              <w:right w:val="nil"/>
            </w:tcBorders>
            <w:tcMar>
              <w:top w:w="20" w:type="dxa"/>
              <w:left w:w="20" w:type="dxa"/>
              <w:bottom w:w="20" w:type="dxa"/>
              <w:right w:w="20" w:type="dxa"/>
            </w:tcMar>
            <w:vAlign w:val="bottom"/>
          </w:tcPr>
          <w:p w14:paraId="5C87DD0A"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3BD6BE8B" w14:textId="77777777">
        <w:tc>
          <w:tcPr>
            <w:tcW w:w="4680" w:type="dxa"/>
            <w:tcBorders>
              <w:top w:val="nil"/>
              <w:left w:val="nil"/>
              <w:bottom w:val="nil"/>
              <w:right w:val="nil"/>
            </w:tcBorders>
            <w:tcMar>
              <w:top w:w="20" w:type="dxa"/>
              <w:left w:w="20" w:type="dxa"/>
              <w:bottom w:w="20" w:type="dxa"/>
              <w:right w:w="20" w:type="dxa"/>
            </w:tcMar>
            <w:vAlign w:val="bottom"/>
          </w:tcPr>
          <w:p w14:paraId="684CAE88" w14:textId="70806704"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w:t>
            </w:r>
            <w:r w:rsidR="003A1A97">
              <w:rPr>
                <w:rFonts w:ascii="Arial" w:hAnsi="Arial" w:cs="Arial"/>
                <w:color w:val="252525"/>
              </w:rPr>
              <w:t>8</w:t>
            </w:r>
          </w:p>
        </w:tc>
        <w:tc>
          <w:tcPr>
            <w:tcW w:w="4680" w:type="dxa"/>
            <w:tcBorders>
              <w:top w:val="nil"/>
              <w:left w:val="nil"/>
              <w:bottom w:val="nil"/>
              <w:right w:val="nil"/>
            </w:tcBorders>
            <w:tcMar>
              <w:top w:w="20" w:type="dxa"/>
              <w:left w:w="20" w:type="dxa"/>
              <w:bottom w:w="20" w:type="dxa"/>
              <w:right w:w="20" w:type="dxa"/>
            </w:tcMar>
            <w:vAlign w:val="bottom"/>
          </w:tcPr>
          <w:p w14:paraId="60D08DA4"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078FF4FC" w14:textId="77777777">
        <w:tc>
          <w:tcPr>
            <w:tcW w:w="4680" w:type="dxa"/>
            <w:tcBorders>
              <w:top w:val="nil"/>
              <w:left w:val="nil"/>
              <w:bottom w:val="nil"/>
              <w:right w:val="nil"/>
            </w:tcBorders>
            <w:tcMar>
              <w:top w:w="20" w:type="dxa"/>
              <w:left w:w="20" w:type="dxa"/>
              <w:bottom w:w="20" w:type="dxa"/>
              <w:right w:w="20" w:type="dxa"/>
            </w:tcMar>
            <w:vAlign w:val="bottom"/>
          </w:tcPr>
          <w:p w14:paraId="3858BEE7"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14:paraId="3FA066AE"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14:paraId="38B61DDF"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3DA4C1F0"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74B0EA6D" w14:textId="77777777"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14:paraId="421E5A6C" w14:textId="2065FD9A"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14:paraId="03BEC3FB" w14:textId="77777777" w:rsidR="0063663C" w:rsidRDefault="0063663C" w:rsidP="00716AA9">
      <w:pPr>
        <w:widowControl w:val="0"/>
        <w:suppressAutoHyphens/>
        <w:autoSpaceDE w:val="0"/>
        <w:autoSpaceDN w:val="0"/>
        <w:adjustRightInd w:val="0"/>
        <w:spacing w:after="0" w:line="240" w:lineRule="auto"/>
        <w:jc w:val="both"/>
        <w:rPr>
          <w:rFonts w:ascii="Arial" w:hAnsi="Arial" w:cs="Arial"/>
          <w:b/>
          <w:i/>
          <w:iCs/>
          <w:color w:val="252525"/>
        </w:rPr>
      </w:pPr>
    </w:p>
    <w:p w14:paraId="217FC0C5" w14:textId="77777777"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14:paraId="3D130FBF" w14:textId="3F2415B9" w:rsidR="002A7845" w:rsidRPr="00E2735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9575FE">
        <w:rPr>
          <w:rFonts w:ascii="Arial" w:hAnsi="Arial" w:cs="Arial"/>
          <w:b/>
          <w:i/>
          <w:iCs/>
          <w:color w:val="252525"/>
        </w:rPr>
        <w:lastRenderedPageBreak/>
        <w:t>Actuarial</w:t>
      </w:r>
      <w:r w:rsidR="00FB0602" w:rsidRPr="009575FE">
        <w:rPr>
          <w:rFonts w:ascii="Arial" w:hAnsi="Arial" w:cs="Arial"/>
          <w:b/>
          <w:i/>
          <w:iCs/>
          <w:color w:val="252525"/>
        </w:rPr>
        <w:t xml:space="preserve"> </w:t>
      </w:r>
      <w:r w:rsidRPr="009575FE">
        <w:rPr>
          <w:rFonts w:ascii="Arial" w:hAnsi="Arial" w:cs="Arial"/>
          <w:b/>
          <w:i/>
          <w:iCs/>
          <w:color w:val="252525"/>
        </w:rPr>
        <w:t>assumptions</w:t>
      </w:r>
      <w:r w:rsidRPr="009575FE">
        <w:rPr>
          <w:rFonts w:ascii="Arial" w:hAnsi="Arial" w:cs="Arial"/>
          <w:b/>
          <w:color w:val="252525"/>
        </w:rPr>
        <w:t>.</w:t>
      </w:r>
      <w:r w:rsidR="00FB0602" w:rsidRPr="009575FE">
        <w:rPr>
          <w:rFonts w:ascii="Arial" w:hAnsi="Arial" w:cs="Arial"/>
          <w:color w:val="252525"/>
        </w:rPr>
        <w:t xml:space="preserve"> T</w:t>
      </w:r>
      <w:r w:rsidRPr="009575FE">
        <w:rPr>
          <w:rFonts w:ascii="Arial" w:hAnsi="Arial" w:cs="Arial"/>
          <w:color w:val="252525"/>
        </w:rPr>
        <w:t>he total pension liability in</w:t>
      </w:r>
      <w:r w:rsidRPr="00E27355">
        <w:rPr>
          <w:rFonts w:ascii="Arial" w:hAnsi="Arial" w:cs="Arial"/>
          <w:color w:val="252525"/>
        </w:rPr>
        <w:t xml:space="preserve"> the </w:t>
      </w:r>
      <w:r w:rsidR="005D755E">
        <w:rPr>
          <w:rFonts w:ascii="Arial" w:hAnsi="Arial" w:cs="Arial"/>
        </w:rPr>
        <w:t>July 1, 20</w:t>
      </w:r>
      <w:r w:rsidR="00C72602">
        <w:rPr>
          <w:rFonts w:ascii="Arial" w:hAnsi="Arial" w:cs="Arial"/>
        </w:rPr>
        <w:t>2</w:t>
      </w:r>
      <w:r w:rsidR="00D455AD">
        <w:rPr>
          <w:rFonts w:ascii="Arial" w:hAnsi="Arial" w:cs="Arial"/>
        </w:rPr>
        <w:t>3</w:t>
      </w:r>
      <w:r w:rsidRPr="00E27355">
        <w:rPr>
          <w:rFonts w:ascii="Arial" w:hAnsi="Arial" w:cs="Arial"/>
        </w:rPr>
        <w:t xml:space="preserve"> </w:t>
      </w:r>
      <w:r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495C7D" w:rsidRPr="00E27355" w14:paraId="09809E42" w14:textId="77777777" w:rsidTr="003207EB">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14:paraId="1F4FE57C" w14:textId="77777777" w:rsidR="00495C7D" w:rsidRPr="00E27355"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14:paraId="57238A61" w14:textId="77777777" w:rsidR="00495C7D" w:rsidRPr="00E27355"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27355" w14:paraId="5766AC02"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2643F67C"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14:paraId="1853C8D8" w14:textId="02B9BD9F" w:rsidR="00EB05EE" w:rsidRDefault="001A7078">
            <w:pPr>
              <w:pStyle w:val="Default"/>
              <w:rPr>
                <w:rFonts w:ascii="Arial" w:hAnsi="Arial" w:cs="Arial"/>
                <w:sz w:val="22"/>
                <w:szCs w:val="22"/>
              </w:rPr>
            </w:pPr>
            <w:r>
              <w:rPr>
                <w:rFonts w:ascii="Arial" w:hAnsi="Arial" w:cs="Arial"/>
                <w:sz w:val="22"/>
                <w:szCs w:val="22"/>
              </w:rPr>
              <w:t>2</w:t>
            </w:r>
            <w:r w:rsidR="009C546D" w:rsidRPr="00E27355">
              <w:rPr>
                <w:rFonts w:ascii="Arial" w:hAnsi="Arial" w:cs="Arial"/>
                <w:sz w:val="22"/>
                <w:szCs w:val="22"/>
              </w:rPr>
              <w:t>.</w:t>
            </w:r>
            <w:r w:rsidR="00C72602">
              <w:rPr>
                <w:rFonts w:ascii="Arial" w:hAnsi="Arial" w:cs="Arial"/>
                <w:sz w:val="22"/>
                <w:szCs w:val="22"/>
              </w:rPr>
              <w:t>25</w:t>
            </w:r>
            <w:r w:rsidR="00EB05EE" w:rsidRPr="00E27355">
              <w:rPr>
                <w:rFonts w:ascii="Arial" w:hAnsi="Arial" w:cs="Arial"/>
                <w:sz w:val="22"/>
                <w:szCs w:val="22"/>
              </w:rPr>
              <w:t xml:space="preserve">% </w:t>
            </w:r>
          </w:p>
          <w:p w14:paraId="614CB91E" w14:textId="77777777" w:rsidR="003207EB" w:rsidRPr="00E27355" w:rsidRDefault="003207EB">
            <w:pPr>
              <w:pStyle w:val="Default"/>
              <w:rPr>
                <w:rFonts w:ascii="Arial" w:hAnsi="Arial" w:cs="Arial"/>
                <w:sz w:val="22"/>
                <w:szCs w:val="22"/>
              </w:rPr>
            </w:pPr>
          </w:p>
        </w:tc>
      </w:tr>
      <w:tr w:rsidR="00EB05EE" w:rsidRPr="00E27355" w14:paraId="2C3B8F2E" w14:textId="77777777" w:rsidTr="003207EB">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14:paraId="18E1A916" w14:textId="77777777" w:rsidR="00EB05EE" w:rsidRPr="00E27355" w:rsidRDefault="00EB05EE">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14:paraId="0D1F3A36" w14:textId="593D72B8" w:rsidR="00EB05EE" w:rsidRDefault="00C72602" w:rsidP="003207EB">
            <w:pPr>
              <w:pStyle w:val="Default"/>
              <w:rPr>
                <w:rFonts w:ascii="ArialMT" w:hAnsi="ArialMT" w:cs="ArialMT"/>
                <w:sz w:val="18"/>
                <w:szCs w:val="18"/>
              </w:rPr>
            </w:pPr>
            <w:r w:rsidRPr="00530487">
              <w:rPr>
                <w:rFonts w:ascii="Arial" w:hAnsi="Arial" w:cs="Arial"/>
                <w:sz w:val="22"/>
                <w:szCs w:val="22"/>
              </w:rPr>
              <w:t>3.5% to 17.75% including inflation</w:t>
            </w:r>
          </w:p>
          <w:p w14:paraId="0208F214" w14:textId="77777777" w:rsidR="003207EB" w:rsidRPr="00E27355" w:rsidRDefault="003207EB" w:rsidP="003207EB">
            <w:pPr>
              <w:pStyle w:val="Default"/>
              <w:rPr>
                <w:rFonts w:ascii="Arial" w:hAnsi="Arial" w:cs="Arial"/>
                <w:color w:val="000000" w:themeColor="text1"/>
                <w:sz w:val="22"/>
                <w:szCs w:val="22"/>
              </w:rPr>
            </w:pPr>
          </w:p>
        </w:tc>
      </w:tr>
      <w:tr w:rsidR="00EB05EE" w:rsidRPr="00E27355" w14:paraId="0CE37EE9"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03F0AE1C"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14:paraId="43541CD9" w14:textId="5A3F943A" w:rsidR="00EB05EE" w:rsidRPr="00E27355" w:rsidRDefault="003A1A97">
            <w:pPr>
              <w:pStyle w:val="Default"/>
              <w:rPr>
                <w:rFonts w:ascii="Arial" w:hAnsi="Arial" w:cs="Arial"/>
                <w:sz w:val="22"/>
                <w:szCs w:val="22"/>
              </w:rPr>
            </w:pPr>
            <w:r>
              <w:rPr>
                <w:rFonts w:ascii="Arial" w:hAnsi="Arial" w:cs="Arial"/>
                <w:sz w:val="22"/>
                <w:szCs w:val="22"/>
              </w:rPr>
              <w:t>6.50%</w:t>
            </w:r>
            <w:r w:rsidR="00EB05EE" w:rsidRPr="00E27355">
              <w:rPr>
                <w:rFonts w:ascii="Arial" w:hAnsi="Arial" w:cs="Arial"/>
                <w:sz w:val="22"/>
                <w:szCs w:val="22"/>
              </w:rPr>
              <w:t xml:space="preserve">, net of investment expenses </w:t>
            </w:r>
          </w:p>
        </w:tc>
      </w:tr>
      <w:tr w:rsidR="00EB05EE" w:rsidRPr="00E27355" w14:paraId="30EC2120"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0E886E77"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14:paraId="23027917"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None </w:t>
            </w:r>
          </w:p>
        </w:tc>
      </w:tr>
      <w:tr w:rsidR="000F5647" w:rsidRPr="006F5A37" w14:paraId="6E597ADD" w14:textId="77777777" w:rsidTr="003207EB">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14:paraId="6DBFA42F" w14:textId="77777777"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14:paraId="6C0A9DED" w14:textId="77777777"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r>
      <w:tr w:rsidR="00C72602" w:rsidRPr="006F5A37" w14:paraId="3EFA977D" w14:textId="77777777" w:rsidTr="00AB29AA">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14:paraId="5FFBF94D" w14:textId="77777777" w:rsidR="00C72602" w:rsidRPr="006F5A37" w:rsidRDefault="00C72602" w:rsidP="00AB29AA">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14:paraId="6097EA0B" w14:textId="77777777" w:rsidR="00C72602" w:rsidRPr="006F5A37" w:rsidRDefault="00C72602" w:rsidP="00AB29AA">
            <w:pPr>
              <w:widowControl w:val="0"/>
              <w:suppressAutoHyphens/>
              <w:autoSpaceDE w:val="0"/>
              <w:autoSpaceDN w:val="0"/>
              <w:adjustRightInd w:val="0"/>
              <w:spacing w:after="0" w:line="240" w:lineRule="auto"/>
              <w:rPr>
                <w:rFonts w:ascii="Arial" w:hAnsi="Arial" w:cs="Arial"/>
                <w:color w:val="252525"/>
                <w:highlight w:val="cyan"/>
              </w:rPr>
            </w:pPr>
          </w:p>
        </w:tc>
      </w:tr>
    </w:tbl>
    <w:p w14:paraId="2E927B0A" w14:textId="77777777" w:rsidR="00C72602" w:rsidRPr="00E27355" w:rsidRDefault="00C72602" w:rsidP="00C72602">
      <w:pPr>
        <w:pStyle w:val="Default"/>
        <w:jc w:val="both"/>
        <w:rPr>
          <w:rFonts w:ascii="Arial" w:hAnsi="Arial" w:cs="Arial"/>
          <w:sz w:val="22"/>
          <w:szCs w:val="22"/>
        </w:rPr>
      </w:pPr>
      <w:r w:rsidRPr="00E27355">
        <w:rPr>
          <w:rFonts w:ascii="Arial" w:hAnsi="Arial" w:cs="Arial"/>
          <w:sz w:val="22"/>
          <w:szCs w:val="22"/>
        </w:rPr>
        <w:t xml:space="preserve">For active members, inactive members and healthy retirees, mortality rates were based on the </w:t>
      </w:r>
      <w:r>
        <w:rPr>
          <w:rFonts w:ascii="Arial" w:hAnsi="Arial" w:cs="Arial"/>
          <w:sz w:val="22"/>
          <w:szCs w:val="22"/>
        </w:rPr>
        <w:t xml:space="preserve">Sex-distinct Pub-2010 table for General Employees, with scaling based on actual experience. </w:t>
      </w:r>
      <w:r w:rsidRPr="00137CFD">
        <w:rPr>
          <w:rFonts w:ascii="Arial" w:hAnsi="Arial" w:cs="Arial"/>
          <w:sz w:val="22"/>
          <w:szCs w:val="22"/>
        </w:rPr>
        <w:t>Respective corresponding tables were used for healthy retirees, disabled retirees, and active members. Mortality rates are projected from 2010 using the MP-2019 scale.</w:t>
      </w:r>
      <w:r w:rsidRPr="00E27355">
        <w:rPr>
          <w:rFonts w:ascii="Arial" w:hAnsi="Arial" w:cs="Arial"/>
          <w:sz w:val="22"/>
          <w:szCs w:val="22"/>
        </w:rPr>
        <w:t xml:space="preserve"> </w:t>
      </w:r>
    </w:p>
    <w:p w14:paraId="4487064D" w14:textId="77777777" w:rsidR="00C72602" w:rsidRPr="006F5A37" w:rsidRDefault="00C72602" w:rsidP="00C72602">
      <w:pPr>
        <w:widowControl w:val="0"/>
        <w:suppressAutoHyphens/>
        <w:autoSpaceDE w:val="0"/>
        <w:autoSpaceDN w:val="0"/>
        <w:adjustRightInd w:val="0"/>
        <w:spacing w:after="0" w:line="240" w:lineRule="auto"/>
        <w:jc w:val="both"/>
        <w:rPr>
          <w:rFonts w:ascii="Arial" w:hAnsi="Arial" w:cs="Arial"/>
          <w:color w:val="252525"/>
          <w:highlight w:val="cyan"/>
        </w:rPr>
      </w:pPr>
    </w:p>
    <w:p w14:paraId="0B097F62" w14:textId="77777777" w:rsidR="00C72602" w:rsidRDefault="00C72602" w:rsidP="00C72602">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 xml:space="preserve">The long-term expected </w:t>
      </w:r>
      <w:r w:rsidRPr="00FC7863">
        <w:rPr>
          <w:rFonts w:ascii="Arial" w:hAnsi="Arial" w:cs="Arial"/>
          <w:color w:val="252525"/>
        </w:rPr>
        <w:t xml:space="preserve">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Pr>
          <w:rFonts w:ascii="Arial" w:hAnsi="Arial" w:cs="Arial"/>
          <w:color w:val="252525"/>
        </w:rPr>
        <w:t>B</w:t>
      </w:r>
      <w:r w:rsidRPr="00FC7863">
        <w:rPr>
          <w:rFonts w:ascii="Arial" w:hAnsi="Arial" w:cs="Arial"/>
          <w:color w:val="252525"/>
        </w:rPr>
        <w:t>est estimates of arithmetic real rates of return for each major asset class</w:t>
      </w:r>
      <w:r>
        <w:rPr>
          <w:rFonts w:ascii="Arial" w:hAnsi="Arial" w:cs="Arial"/>
          <w:color w:val="252525"/>
        </w:rPr>
        <w:t xml:space="preserve"> included in the Fund’s target asset allocation</w:t>
      </w:r>
      <w:r w:rsidRPr="00FC7863">
        <w:rPr>
          <w:rFonts w:ascii="Arial" w:hAnsi="Arial" w:cs="Arial"/>
          <w:color w:val="252525"/>
        </w:rPr>
        <w:t xml:space="preserve"> are summarized in the following table:</w:t>
      </w:r>
    </w:p>
    <w:p w14:paraId="06688A0D" w14:textId="77777777" w:rsidR="00C72602" w:rsidRDefault="00C72602" w:rsidP="00C72602">
      <w:pPr>
        <w:widowControl w:val="0"/>
        <w:suppressAutoHyphens/>
        <w:autoSpaceDE w:val="0"/>
        <w:autoSpaceDN w:val="0"/>
        <w:adjustRightInd w:val="0"/>
        <w:spacing w:after="0" w:line="240" w:lineRule="auto"/>
        <w:jc w:val="both"/>
        <w:rPr>
          <w:rFonts w:ascii="Arial" w:hAnsi="Arial" w:cs="Arial"/>
          <w:color w:val="252525"/>
        </w:rPr>
      </w:pPr>
    </w:p>
    <w:tbl>
      <w:tblPr>
        <w:tblStyle w:val="TableGrid"/>
        <w:tblW w:w="0" w:type="auto"/>
        <w:tblLook w:val="04A0" w:firstRow="1" w:lastRow="0" w:firstColumn="1" w:lastColumn="0" w:noHBand="0" w:noVBand="1"/>
      </w:tblPr>
      <w:tblGrid>
        <w:gridCol w:w="3192"/>
        <w:gridCol w:w="3192"/>
        <w:gridCol w:w="3192"/>
      </w:tblGrid>
      <w:tr w:rsidR="00C72602" w14:paraId="756E2752" w14:textId="77777777" w:rsidTr="00AB29AA">
        <w:tc>
          <w:tcPr>
            <w:tcW w:w="3192" w:type="dxa"/>
          </w:tcPr>
          <w:p w14:paraId="7384D815"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Asset Class</w:t>
            </w:r>
          </w:p>
        </w:tc>
        <w:tc>
          <w:tcPr>
            <w:tcW w:w="3192" w:type="dxa"/>
          </w:tcPr>
          <w:p w14:paraId="4A6282C8"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Target Allocation</w:t>
            </w:r>
          </w:p>
        </w:tc>
        <w:tc>
          <w:tcPr>
            <w:tcW w:w="3192" w:type="dxa"/>
          </w:tcPr>
          <w:p w14:paraId="404014E3"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Long-Term Expected Real Rate of Return</w:t>
            </w:r>
          </w:p>
        </w:tc>
      </w:tr>
      <w:tr w:rsidR="00C72602" w14:paraId="3A2A79FE" w14:textId="77777777" w:rsidTr="00AB29AA">
        <w:tc>
          <w:tcPr>
            <w:tcW w:w="3192" w:type="dxa"/>
          </w:tcPr>
          <w:p w14:paraId="1DE77358"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Equity</w:t>
            </w:r>
          </w:p>
        </w:tc>
        <w:tc>
          <w:tcPr>
            <w:tcW w:w="3192" w:type="dxa"/>
          </w:tcPr>
          <w:p w14:paraId="5340C8DD" w14:textId="61347E32"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3</w:t>
            </w:r>
            <w:r w:rsidR="003A1A97">
              <w:rPr>
                <w:rFonts w:ascii="Arial" w:hAnsi="Arial" w:cs="Arial"/>
                <w:color w:val="252525"/>
              </w:rPr>
              <w:t>1</w:t>
            </w:r>
            <w:r w:rsidRPr="00AD31ED">
              <w:rPr>
                <w:rFonts w:ascii="Arial" w:hAnsi="Arial" w:cs="Arial"/>
                <w:color w:val="252525"/>
              </w:rPr>
              <w:t>%</w:t>
            </w:r>
          </w:p>
        </w:tc>
        <w:tc>
          <w:tcPr>
            <w:tcW w:w="3192" w:type="dxa"/>
          </w:tcPr>
          <w:p w14:paraId="7766B494" w14:textId="029BC589" w:rsidR="00C72602" w:rsidRPr="00AD31ED" w:rsidRDefault="009A0C3A" w:rsidP="00AB29AA">
            <w:pPr>
              <w:widowControl w:val="0"/>
              <w:suppressAutoHyphens/>
              <w:autoSpaceDE w:val="0"/>
              <w:autoSpaceDN w:val="0"/>
              <w:adjustRightInd w:val="0"/>
              <w:jc w:val="center"/>
              <w:rPr>
                <w:rFonts w:ascii="Arial" w:hAnsi="Arial" w:cs="Arial"/>
                <w:color w:val="252525"/>
              </w:rPr>
            </w:pPr>
            <w:r>
              <w:rPr>
                <w:rFonts w:ascii="Arial" w:hAnsi="Arial" w:cs="Arial"/>
                <w:color w:val="252525"/>
              </w:rPr>
              <w:t>6.</w:t>
            </w:r>
            <w:r w:rsidR="003A1A97">
              <w:rPr>
                <w:rFonts w:ascii="Arial" w:hAnsi="Arial" w:cs="Arial"/>
                <w:color w:val="252525"/>
              </w:rPr>
              <w:t>25</w:t>
            </w:r>
            <w:r w:rsidR="00C72602" w:rsidRPr="00AD31ED">
              <w:rPr>
                <w:rFonts w:ascii="Arial" w:hAnsi="Arial" w:cs="Arial"/>
                <w:color w:val="252525"/>
              </w:rPr>
              <w:t>%</w:t>
            </w:r>
          </w:p>
        </w:tc>
      </w:tr>
      <w:tr w:rsidR="00C72602" w14:paraId="730F5C4A" w14:textId="77777777" w:rsidTr="00AB29AA">
        <w:tc>
          <w:tcPr>
            <w:tcW w:w="3192" w:type="dxa"/>
          </w:tcPr>
          <w:p w14:paraId="0A96D23A"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Equity</w:t>
            </w:r>
          </w:p>
        </w:tc>
        <w:tc>
          <w:tcPr>
            <w:tcW w:w="3192" w:type="dxa"/>
          </w:tcPr>
          <w:p w14:paraId="570BC373" w14:textId="0FC00FDE"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w:t>
            </w:r>
            <w:r w:rsidR="003A1A97">
              <w:rPr>
                <w:rFonts w:ascii="Arial" w:hAnsi="Arial" w:cs="Arial"/>
                <w:color w:val="252525"/>
              </w:rPr>
              <w:t>0</w:t>
            </w:r>
            <w:r w:rsidRPr="00AD31ED">
              <w:rPr>
                <w:rFonts w:ascii="Arial" w:hAnsi="Arial" w:cs="Arial"/>
                <w:color w:val="252525"/>
              </w:rPr>
              <w:t>%</w:t>
            </w:r>
          </w:p>
        </w:tc>
        <w:tc>
          <w:tcPr>
            <w:tcW w:w="3192" w:type="dxa"/>
          </w:tcPr>
          <w:p w14:paraId="7955FE72" w14:textId="077D8164"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6.</w:t>
            </w:r>
            <w:r w:rsidR="003A1A97">
              <w:rPr>
                <w:rFonts w:ascii="Arial" w:hAnsi="Arial" w:cs="Arial"/>
                <w:color w:val="252525"/>
              </w:rPr>
              <w:t>95</w:t>
            </w:r>
            <w:r w:rsidRPr="00AD31ED">
              <w:rPr>
                <w:rFonts w:ascii="Arial" w:hAnsi="Arial" w:cs="Arial"/>
                <w:color w:val="252525"/>
              </w:rPr>
              <w:t>%</w:t>
            </w:r>
          </w:p>
        </w:tc>
      </w:tr>
      <w:tr w:rsidR="00C72602" w14:paraId="7A68A8E6" w14:textId="77777777" w:rsidTr="00AB29AA">
        <w:tc>
          <w:tcPr>
            <w:tcW w:w="3192" w:type="dxa"/>
          </w:tcPr>
          <w:p w14:paraId="2F546CE8"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Private Equity</w:t>
            </w:r>
          </w:p>
        </w:tc>
        <w:tc>
          <w:tcPr>
            <w:tcW w:w="3192" w:type="dxa"/>
          </w:tcPr>
          <w:p w14:paraId="54E2DB05"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 xml:space="preserve"> 7%</w:t>
            </w:r>
          </w:p>
        </w:tc>
        <w:tc>
          <w:tcPr>
            <w:tcW w:w="3192" w:type="dxa"/>
          </w:tcPr>
          <w:p w14:paraId="1DF92762" w14:textId="754616CA"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 xml:space="preserve">                 </w:t>
            </w:r>
            <w:r>
              <w:rPr>
                <w:rFonts w:ascii="Arial" w:hAnsi="Arial" w:cs="Arial"/>
                <w:color w:val="252525"/>
              </w:rPr>
              <w:t xml:space="preserve">  9.</w:t>
            </w:r>
            <w:r w:rsidR="003A1A97">
              <w:rPr>
                <w:rFonts w:ascii="Arial" w:hAnsi="Arial" w:cs="Arial"/>
                <w:color w:val="252525"/>
              </w:rPr>
              <w:t>45</w:t>
            </w:r>
            <w:r w:rsidRPr="00AD31ED">
              <w:rPr>
                <w:rFonts w:ascii="Arial" w:hAnsi="Arial" w:cs="Arial"/>
                <w:color w:val="252525"/>
              </w:rPr>
              <w:t>%</w:t>
            </w:r>
          </w:p>
        </w:tc>
      </w:tr>
      <w:tr w:rsidR="00C72602" w14:paraId="12478721" w14:textId="77777777" w:rsidTr="00AB29AA">
        <w:tc>
          <w:tcPr>
            <w:tcW w:w="3192" w:type="dxa"/>
          </w:tcPr>
          <w:p w14:paraId="1C2478A4"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Fixed Income</w:t>
            </w:r>
          </w:p>
        </w:tc>
        <w:tc>
          <w:tcPr>
            <w:tcW w:w="3192" w:type="dxa"/>
          </w:tcPr>
          <w:p w14:paraId="3E34F36F"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23%</w:t>
            </w:r>
          </w:p>
        </w:tc>
        <w:tc>
          <w:tcPr>
            <w:tcW w:w="3192" w:type="dxa"/>
          </w:tcPr>
          <w:p w14:paraId="106BCA96" w14:textId="23FAB8EE" w:rsidR="00C72602" w:rsidRPr="00AD31ED" w:rsidRDefault="003A1A97" w:rsidP="00AB29AA">
            <w:pPr>
              <w:widowControl w:val="0"/>
              <w:suppressAutoHyphens/>
              <w:autoSpaceDE w:val="0"/>
              <w:autoSpaceDN w:val="0"/>
              <w:adjustRightInd w:val="0"/>
              <w:jc w:val="center"/>
              <w:rPr>
                <w:rFonts w:ascii="Arial" w:hAnsi="Arial" w:cs="Arial"/>
                <w:color w:val="252525"/>
              </w:rPr>
            </w:pPr>
            <w:r>
              <w:rPr>
                <w:rFonts w:ascii="Arial" w:hAnsi="Arial" w:cs="Arial"/>
                <w:color w:val="252525"/>
              </w:rPr>
              <w:t>2.51</w:t>
            </w:r>
            <w:r w:rsidR="00C72602" w:rsidRPr="00AD31ED">
              <w:rPr>
                <w:rFonts w:ascii="Arial" w:hAnsi="Arial" w:cs="Arial"/>
                <w:color w:val="252525"/>
              </w:rPr>
              <w:t>%</w:t>
            </w:r>
          </w:p>
        </w:tc>
      </w:tr>
      <w:tr w:rsidR="00C72602" w14:paraId="048A5AC7" w14:textId="77777777" w:rsidTr="00AB29AA">
        <w:tc>
          <w:tcPr>
            <w:tcW w:w="3192" w:type="dxa"/>
          </w:tcPr>
          <w:p w14:paraId="5D17BE06"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Fixed Income</w:t>
            </w:r>
          </w:p>
        </w:tc>
        <w:tc>
          <w:tcPr>
            <w:tcW w:w="3192" w:type="dxa"/>
          </w:tcPr>
          <w:p w14:paraId="72E1DF7E"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p>
        </w:tc>
        <w:tc>
          <w:tcPr>
            <w:tcW w:w="3192" w:type="dxa"/>
          </w:tcPr>
          <w:p w14:paraId="5E47D384"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p>
        </w:tc>
      </w:tr>
      <w:tr w:rsidR="00C72602" w14:paraId="362D51FD" w14:textId="77777777" w:rsidTr="00AB29AA">
        <w:tc>
          <w:tcPr>
            <w:tcW w:w="3192" w:type="dxa"/>
          </w:tcPr>
          <w:p w14:paraId="4AC94661"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Global Real Assets</w:t>
            </w:r>
          </w:p>
        </w:tc>
        <w:tc>
          <w:tcPr>
            <w:tcW w:w="3192" w:type="dxa"/>
          </w:tcPr>
          <w:p w14:paraId="269DD906"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19%</w:t>
            </w:r>
          </w:p>
        </w:tc>
        <w:tc>
          <w:tcPr>
            <w:tcW w:w="3192" w:type="dxa"/>
          </w:tcPr>
          <w:p w14:paraId="109B703B" w14:textId="59972420" w:rsidR="00C72602" w:rsidRPr="00AD31ED" w:rsidRDefault="009A0C3A" w:rsidP="00AB29AA">
            <w:pPr>
              <w:widowControl w:val="0"/>
              <w:suppressAutoHyphens/>
              <w:autoSpaceDE w:val="0"/>
              <w:autoSpaceDN w:val="0"/>
              <w:adjustRightInd w:val="0"/>
              <w:jc w:val="center"/>
              <w:rPr>
                <w:rFonts w:ascii="Arial" w:hAnsi="Arial" w:cs="Arial"/>
                <w:color w:val="252525"/>
              </w:rPr>
            </w:pPr>
            <w:r>
              <w:rPr>
                <w:rFonts w:ascii="Arial" w:hAnsi="Arial" w:cs="Arial"/>
                <w:color w:val="252525"/>
              </w:rPr>
              <w:t>4.</w:t>
            </w:r>
            <w:r w:rsidR="003A1A97">
              <w:rPr>
                <w:rFonts w:ascii="Arial" w:hAnsi="Arial" w:cs="Arial"/>
                <w:color w:val="252525"/>
              </w:rPr>
              <w:t>33</w:t>
            </w:r>
            <w:r w:rsidR="00C72602" w:rsidRPr="00AD31ED">
              <w:rPr>
                <w:rFonts w:ascii="Arial" w:hAnsi="Arial" w:cs="Arial"/>
                <w:color w:val="252525"/>
              </w:rPr>
              <w:t>%</w:t>
            </w:r>
          </w:p>
        </w:tc>
      </w:tr>
      <w:tr w:rsidR="00C72602" w14:paraId="31184393" w14:textId="77777777" w:rsidTr="00AB29AA">
        <w:tc>
          <w:tcPr>
            <w:tcW w:w="3192" w:type="dxa"/>
          </w:tcPr>
          <w:p w14:paraId="03AF267D"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Cash Equivalents</w:t>
            </w:r>
          </w:p>
        </w:tc>
        <w:tc>
          <w:tcPr>
            <w:tcW w:w="3192" w:type="dxa"/>
          </w:tcPr>
          <w:p w14:paraId="71643923"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p>
        </w:tc>
        <w:tc>
          <w:tcPr>
            <w:tcW w:w="3192" w:type="dxa"/>
          </w:tcPr>
          <w:p w14:paraId="2CF0E89B"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p>
        </w:tc>
      </w:tr>
    </w:tbl>
    <w:p w14:paraId="3E84861E" w14:textId="77777777"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14:paraId="26D9C8D2" w14:textId="77777777" w:rsidR="00C72602" w:rsidRDefault="00C72602" w:rsidP="00231F49">
      <w:pPr>
        <w:autoSpaceDE w:val="0"/>
        <w:autoSpaceDN w:val="0"/>
        <w:adjustRightInd w:val="0"/>
        <w:spacing w:after="0" w:line="240" w:lineRule="auto"/>
        <w:rPr>
          <w:rFonts w:ascii="Arial" w:hAnsi="Arial" w:cs="Arial"/>
          <w:b/>
          <w:i/>
          <w:iCs/>
          <w:color w:val="252525"/>
        </w:rPr>
      </w:pPr>
    </w:p>
    <w:p w14:paraId="0C79DE25" w14:textId="77777777" w:rsidR="00C72602" w:rsidRDefault="00C72602" w:rsidP="00231F49">
      <w:pPr>
        <w:autoSpaceDE w:val="0"/>
        <w:autoSpaceDN w:val="0"/>
        <w:adjustRightInd w:val="0"/>
        <w:spacing w:after="0" w:line="240" w:lineRule="auto"/>
        <w:rPr>
          <w:rFonts w:ascii="Arial" w:hAnsi="Arial" w:cs="Arial"/>
          <w:b/>
          <w:i/>
          <w:iCs/>
          <w:color w:val="252525"/>
        </w:rPr>
      </w:pPr>
    </w:p>
    <w:p w14:paraId="7D19F8CC" w14:textId="0BF9E2AE" w:rsidR="00231F49" w:rsidRDefault="00F61E87" w:rsidP="00231F49">
      <w:pPr>
        <w:autoSpaceDE w:val="0"/>
        <w:autoSpaceDN w:val="0"/>
        <w:adjustRightInd w:val="0"/>
        <w:spacing w:after="0" w:line="240" w:lineRule="auto"/>
        <w:rPr>
          <w:rFonts w:ascii="ArialMT" w:hAnsi="ArialMT" w:cs="ArialMT"/>
        </w:rPr>
      </w:pPr>
      <w:r w:rsidRPr="00FC7863">
        <w:rPr>
          <w:rFonts w:ascii="Arial" w:hAnsi="Arial" w:cs="Arial"/>
          <w:b/>
          <w:i/>
          <w:iCs/>
          <w:color w:val="252525"/>
        </w:rPr>
        <w:t>Discount rate</w:t>
      </w:r>
      <w:r w:rsidRPr="00FC7863">
        <w:rPr>
          <w:rFonts w:ascii="Arial" w:hAnsi="Arial" w:cs="Arial"/>
          <w:b/>
          <w:color w:val="252525"/>
        </w:rPr>
        <w:t xml:space="preserve">. </w:t>
      </w:r>
      <w:r w:rsidR="00231F49">
        <w:rPr>
          <w:rFonts w:ascii="ArialMT" w:hAnsi="ArialMT" w:cs="ArialMT"/>
        </w:rPr>
        <w:t xml:space="preserve">For PERS, GASB Statement No. 67 includes a specific requirement for the discount rate that is used for the purpose of the measurement of the Total Pension Liability. This rate considers the ability of the System to meet benefit obligations in the future. To make this </w:t>
      </w:r>
    </w:p>
    <w:p w14:paraId="686AAA62" w14:textId="77777777"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t>determination, employer contributions, employee contributions, benefit payments, expenses and investment returns are projected into the future. The current employer and employee fixed rate contributions are assumed to be made in each future year. The Plan Net Position (assets) in future years can then be determined and compared to its obligation to make benefit payments in those years. In years where assets are not projected to be sufficient to meet benefit payments, which is the case for the PERS plan, the use of a municipal bond rate is required.</w:t>
      </w:r>
    </w:p>
    <w:p w14:paraId="5F17709A" w14:textId="552FF5D5" w:rsidR="00231F49" w:rsidRDefault="00231F49" w:rsidP="00231F49">
      <w:pPr>
        <w:autoSpaceDE w:val="0"/>
        <w:autoSpaceDN w:val="0"/>
        <w:adjustRightInd w:val="0"/>
        <w:spacing w:after="0" w:line="240" w:lineRule="auto"/>
        <w:rPr>
          <w:rFonts w:ascii="ArialMT" w:hAnsi="ArialMT" w:cs="ArialMT"/>
        </w:rPr>
      </w:pPr>
    </w:p>
    <w:p w14:paraId="2BF6E2B1" w14:textId="396372DF" w:rsidR="00C72602" w:rsidRDefault="00C72602" w:rsidP="00231F49">
      <w:pPr>
        <w:autoSpaceDE w:val="0"/>
        <w:autoSpaceDN w:val="0"/>
        <w:adjustRightInd w:val="0"/>
        <w:spacing w:after="0" w:line="240" w:lineRule="auto"/>
        <w:rPr>
          <w:rFonts w:ascii="ArialMT" w:hAnsi="ArialMT" w:cs="ArialMT"/>
        </w:rPr>
      </w:pPr>
    </w:p>
    <w:p w14:paraId="0A5DD6C8" w14:textId="77777777" w:rsidR="00C72602" w:rsidRDefault="00C72602" w:rsidP="00231F49">
      <w:pPr>
        <w:autoSpaceDE w:val="0"/>
        <w:autoSpaceDN w:val="0"/>
        <w:adjustRightInd w:val="0"/>
        <w:spacing w:after="0" w:line="240" w:lineRule="auto"/>
        <w:rPr>
          <w:rFonts w:ascii="ArialMT" w:hAnsi="ArialMT" w:cs="ArialMT"/>
        </w:rPr>
      </w:pPr>
    </w:p>
    <w:p w14:paraId="2147BF94" w14:textId="3A4BD602"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lastRenderedPageBreak/>
        <w:t>The Single Discount Rate (SDR) is equivalent to applying these two rates to the benefits that are</w:t>
      </w:r>
    </w:p>
    <w:p w14:paraId="588D5F5D" w14:textId="77777777"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t>projected to be paid during the different time periods. The SDR reflects (1) the long-term expected rate of return on pension plan investments (during the period in which the fiduciary net position is projected to be sufficient to pay benefits) and (2) a tax-exempt municipal bond rate based on an index of 20-year general obligation bonds with an average AA credit rating as of the measurement date (to the extent that the contributions for use with the long-term expected rate of return are not met).</w:t>
      </w:r>
    </w:p>
    <w:p w14:paraId="42906161" w14:textId="77777777" w:rsidR="00231F49" w:rsidRDefault="00231F49" w:rsidP="00231F49">
      <w:pPr>
        <w:autoSpaceDE w:val="0"/>
        <w:autoSpaceDN w:val="0"/>
        <w:adjustRightInd w:val="0"/>
        <w:spacing w:after="0" w:line="240" w:lineRule="auto"/>
        <w:rPr>
          <w:rFonts w:ascii="ArialMT" w:hAnsi="ArialMT" w:cs="ArialMT"/>
        </w:rPr>
      </w:pPr>
    </w:p>
    <w:p w14:paraId="37F4A3F9" w14:textId="4C8306EE" w:rsidR="002A7845" w:rsidRPr="00231F49" w:rsidRDefault="00231F49" w:rsidP="00231F49">
      <w:pPr>
        <w:autoSpaceDE w:val="0"/>
        <w:autoSpaceDN w:val="0"/>
        <w:adjustRightInd w:val="0"/>
        <w:spacing w:after="0" w:line="240" w:lineRule="auto"/>
        <w:rPr>
          <w:rFonts w:ascii="ArialMT" w:hAnsi="ArialMT" w:cs="ArialMT"/>
        </w:rPr>
      </w:pPr>
      <w:r>
        <w:rPr>
          <w:rFonts w:ascii="ArialMT" w:hAnsi="ArialMT" w:cs="ArialMT"/>
        </w:rPr>
        <w:t xml:space="preserve">For the purpose of this valuation, the expected rate of return on pension plan investments is </w:t>
      </w:r>
      <w:r w:rsidR="001E2D0D">
        <w:rPr>
          <w:rFonts w:ascii="ArialMT" w:hAnsi="ArialMT" w:cs="ArialMT"/>
        </w:rPr>
        <w:t>6.50</w:t>
      </w:r>
      <w:r>
        <w:rPr>
          <w:rFonts w:ascii="ArialMT" w:hAnsi="ArialMT" w:cs="ArialMT"/>
        </w:rPr>
        <w:t xml:space="preserve">%; the municipal bond rate is </w:t>
      </w:r>
      <w:r w:rsidR="001E2D0D">
        <w:rPr>
          <w:rFonts w:ascii="ArialMT" w:hAnsi="ArialMT" w:cs="ArialMT"/>
        </w:rPr>
        <w:t>3.</w:t>
      </w:r>
      <w:r w:rsidR="003A1A97">
        <w:rPr>
          <w:rFonts w:ascii="ArialMT" w:hAnsi="ArialMT" w:cs="ArialMT"/>
        </w:rPr>
        <w:t>86</w:t>
      </w:r>
      <w:r>
        <w:rPr>
          <w:rFonts w:ascii="ArialMT" w:hAnsi="ArialMT" w:cs="ArialMT"/>
        </w:rPr>
        <w:t xml:space="preserve">%; and the resulting Single Discount Rate is </w:t>
      </w:r>
      <w:r w:rsidR="003A1A97">
        <w:rPr>
          <w:rFonts w:ascii="ArialMT" w:hAnsi="ArialMT" w:cs="ArialMT"/>
        </w:rPr>
        <w:t>6.50</w:t>
      </w:r>
      <w:r>
        <w:rPr>
          <w:rFonts w:ascii="ArialMT" w:hAnsi="ArialMT" w:cs="ArialMT"/>
        </w:rPr>
        <w:t>%.</w:t>
      </w:r>
      <w:r w:rsidRPr="00CA65EF">
        <w:rPr>
          <w:rFonts w:ascii="Arial" w:hAnsi="Arial" w:cs="Arial"/>
          <w:color w:val="A6A6A6" w:themeColor="background1" w:themeShade="A6"/>
        </w:rPr>
        <w:t xml:space="preserve"> </w:t>
      </w:r>
      <w:r w:rsidR="00F61E87" w:rsidRPr="00CA65EF">
        <w:rPr>
          <w:rFonts w:ascii="Arial" w:hAnsi="Arial" w:cs="Arial"/>
          <w:color w:val="A6A6A6" w:themeColor="background1" w:themeShade="A6"/>
        </w:rPr>
        <w:t>[If there had been a change in the discount rate since the prior measurement date, t</w:t>
      </w:r>
      <w:r w:rsidR="00511189">
        <w:rPr>
          <w:rFonts w:ascii="Arial" w:hAnsi="Arial" w:cs="Arial"/>
          <w:color w:val="A6A6A6" w:themeColor="background1" w:themeShade="A6"/>
        </w:rPr>
        <w:t>he Employer</w:t>
      </w:r>
      <w:r w:rsidR="00F61E87" w:rsidRPr="00CA65EF">
        <w:rPr>
          <w:rFonts w:ascii="Arial" w:hAnsi="Arial" w:cs="Arial"/>
          <w:color w:val="A6A6A6" w:themeColor="background1" w:themeShade="A6"/>
        </w:rPr>
        <w:t xml:space="preserve"> should disclose information about that change, as required by paragraph 78a of Statement</w:t>
      </w:r>
      <w:r w:rsidR="00511189">
        <w:rPr>
          <w:rFonts w:ascii="Arial" w:hAnsi="Arial" w:cs="Arial"/>
          <w:color w:val="A6A6A6" w:themeColor="background1" w:themeShade="A6"/>
        </w:rPr>
        <w:t xml:space="preserve"> 68</w:t>
      </w:r>
      <w:r w:rsidR="00F61E87" w:rsidRPr="00CA65EF">
        <w:rPr>
          <w:rFonts w:ascii="Arial" w:hAnsi="Arial" w:cs="Arial"/>
          <w:color w:val="A6A6A6" w:themeColor="background1" w:themeShade="A6"/>
        </w:rPr>
        <w:t>.]</w:t>
      </w:r>
      <w:r w:rsidR="00511189">
        <w:rPr>
          <w:rFonts w:ascii="Arial" w:hAnsi="Arial" w:cs="Arial"/>
          <w:color w:val="A6A6A6" w:themeColor="background1" w:themeShade="A6"/>
        </w:rPr>
        <w:t xml:space="preserve"> </w:t>
      </w:r>
    </w:p>
    <w:p w14:paraId="3F436A36" w14:textId="77777777"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14:paraId="184E82E5" w14:textId="17600012"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3A1A97">
        <w:rPr>
          <w:rFonts w:ascii="Arial" w:hAnsi="Arial" w:cs="Arial"/>
          <w:color w:val="252525"/>
        </w:rPr>
        <w:t>6.5</w:t>
      </w:r>
      <w:r w:rsidR="001E2D0D">
        <w:rPr>
          <w:rFonts w:ascii="Arial" w:hAnsi="Arial" w:cs="Arial"/>
          <w:color w:val="252525"/>
        </w:rPr>
        <w:t>0</w:t>
      </w:r>
      <w:r w:rsidR="005A3AE8" w:rsidRPr="00CA65EF">
        <w:rPr>
          <w:rFonts w:ascii="Arial" w:hAnsi="Arial" w:cs="Arial"/>
          <w:color w:val="252525"/>
        </w:rPr>
        <w:t xml:space="preserve">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3A1A97">
        <w:rPr>
          <w:rFonts w:ascii="Arial" w:hAnsi="Arial" w:cs="Arial"/>
          <w:color w:val="252525"/>
        </w:rPr>
        <w:t>5.5</w:t>
      </w:r>
      <w:r w:rsidR="001E2D0D">
        <w:rPr>
          <w:rFonts w:ascii="Arial" w:hAnsi="Arial" w:cs="Arial"/>
          <w:color w:val="252525"/>
        </w:rPr>
        <w:t>0</w:t>
      </w:r>
      <w:r w:rsidRPr="00CA65EF">
        <w:rPr>
          <w:rFonts w:ascii="Arial" w:hAnsi="Arial" w:cs="Arial"/>
          <w:color w:val="252525"/>
        </w:rPr>
        <w:t xml:space="preserve"> percent) or 1-percentage-point higher (</w:t>
      </w:r>
      <w:r w:rsidR="003A1A97">
        <w:rPr>
          <w:rFonts w:ascii="Arial" w:hAnsi="Arial" w:cs="Arial"/>
          <w:color w:val="252525"/>
        </w:rPr>
        <w:t>7.50</w:t>
      </w:r>
      <w:r w:rsidR="00C852E0" w:rsidRPr="00CA65EF">
        <w:rPr>
          <w:rFonts w:ascii="Arial" w:hAnsi="Arial" w:cs="Arial"/>
          <w:color w:val="252525"/>
        </w:rPr>
        <w:t xml:space="preserve"> </w:t>
      </w:r>
      <w:r w:rsidRPr="00CA65EF">
        <w:rPr>
          <w:rFonts w:ascii="Arial" w:hAnsi="Arial" w:cs="Arial"/>
          <w:color w:val="252525"/>
        </w:rPr>
        <w:t>percent) than the current rate</w:t>
      </w:r>
      <w:r w:rsidRPr="00ED4181">
        <w:rPr>
          <w:rFonts w:ascii="Arial" w:hAnsi="Arial" w:cs="Arial"/>
          <w:color w:val="252525"/>
        </w:rPr>
        <w:t>:</w:t>
      </w:r>
      <w:r w:rsidR="00413729" w:rsidRPr="00ED4181">
        <w:rPr>
          <w:rFonts w:ascii="Arial" w:hAnsi="Arial" w:cs="Arial"/>
          <w:color w:val="FF0000"/>
        </w:rPr>
        <w:t xml:space="preserve"> </w:t>
      </w:r>
      <w:r w:rsidR="001C3013" w:rsidRPr="00ED4181">
        <w:rPr>
          <w:rFonts w:ascii="Arial" w:hAnsi="Arial" w:cs="Arial"/>
          <w:color w:val="FF0000"/>
        </w:rPr>
        <w:t>(</w:t>
      </w:r>
      <w:r w:rsidR="0027696B" w:rsidRPr="00ED4181">
        <w:rPr>
          <w:rFonts w:ascii="Arial" w:hAnsi="Arial" w:cs="Arial"/>
          <w:color w:val="FF0000"/>
        </w:rPr>
        <w:t xml:space="preserve">from </w:t>
      </w:r>
      <w:r w:rsidR="00864FB4">
        <w:rPr>
          <w:rFonts w:ascii="Arial" w:hAnsi="Arial" w:cs="Arial"/>
          <w:color w:val="FF0000"/>
        </w:rPr>
        <w:t>Section</w:t>
      </w:r>
      <w:r w:rsidR="00ED4181" w:rsidRPr="00ED4181">
        <w:rPr>
          <w:rFonts w:ascii="Arial" w:hAnsi="Arial" w:cs="Arial"/>
          <w:color w:val="FF0000"/>
        </w:rPr>
        <w:t xml:space="preserve"> </w:t>
      </w:r>
      <w:r w:rsidR="0022661E">
        <w:rPr>
          <w:rFonts w:ascii="Arial" w:hAnsi="Arial" w:cs="Arial"/>
          <w:color w:val="FF0000"/>
        </w:rPr>
        <w:t>E</w:t>
      </w:r>
      <w:r w:rsidR="00864FB4">
        <w:rPr>
          <w:rFonts w:ascii="Arial" w:hAnsi="Arial" w:cs="Arial"/>
          <w:color w:val="FF0000"/>
        </w:rPr>
        <w:t xml:space="preserve">, </w:t>
      </w:r>
      <w:r w:rsidR="0022661E">
        <w:rPr>
          <w:rFonts w:ascii="Arial" w:hAnsi="Arial" w:cs="Arial"/>
          <w:color w:val="FF0000"/>
        </w:rPr>
        <w:t>Net Pension Liability Discount Rate Sensitivity by Employer)</w:t>
      </w:r>
    </w:p>
    <w:p w14:paraId="1700468A"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14:paraId="0D7ECAC8" w14:textId="77777777">
        <w:tc>
          <w:tcPr>
            <w:tcW w:w="2340" w:type="dxa"/>
            <w:tcBorders>
              <w:top w:val="nil"/>
              <w:left w:val="nil"/>
              <w:bottom w:val="nil"/>
              <w:right w:val="nil"/>
            </w:tcBorders>
            <w:tcMar>
              <w:top w:w="20" w:type="dxa"/>
              <w:left w:w="20" w:type="dxa"/>
              <w:bottom w:w="20" w:type="dxa"/>
              <w:right w:w="20" w:type="dxa"/>
            </w:tcMar>
            <w:vAlign w:val="bottom"/>
          </w:tcPr>
          <w:p w14:paraId="009ECA3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14:paraId="66C06EA7" w14:textId="15F19D45"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3A1A97">
              <w:rPr>
                <w:rFonts w:ascii="Arial" w:hAnsi="Arial" w:cs="Arial"/>
                <w:b/>
                <w:bCs/>
                <w:color w:val="252525"/>
              </w:rPr>
              <w:t>5.5</w:t>
            </w:r>
            <w:r w:rsidR="001E2D0D">
              <w:rPr>
                <w:rFonts w:ascii="Arial" w:hAnsi="Arial" w:cs="Arial"/>
                <w:b/>
                <w:bCs/>
                <w:color w:val="252525"/>
              </w:rPr>
              <w:t>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7F61F23A" w14:textId="25F75B8F"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3A1A97">
              <w:rPr>
                <w:rFonts w:ascii="Arial" w:hAnsi="Arial" w:cs="Arial"/>
                <w:b/>
                <w:bCs/>
                <w:color w:val="252525"/>
              </w:rPr>
              <w:t>6.5</w:t>
            </w:r>
            <w:r w:rsidR="001E2D0D">
              <w:rPr>
                <w:rFonts w:ascii="Arial" w:hAnsi="Arial" w:cs="Arial"/>
                <w:b/>
                <w:bCs/>
                <w:color w:val="252525"/>
              </w:rPr>
              <w:t>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6B96A682" w14:textId="1A1A2719"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3A1A97">
              <w:rPr>
                <w:rFonts w:ascii="Arial" w:hAnsi="Arial" w:cs="Arial"/>
                <w:b/>
                <w:bCs/>
                <w:color w:val="252525"/>
              </w:rPr>
              <w:t>7.5</w:t>
            </w:r>
            <w:r w:rsidR="001E2D0D">
              <w:rPr>
                <w:rFonts w:ascii="Arial" w:hAnsi="Arial" w:cs="Arial"/>
                <w:b/>
                <w:bCs/>
                <w:color w:val="252525"/>
              </w:rPr>
              <w:t>0</w:t>
            </w:r>
            <w:r w:rsidRPr="00413729">
              <w:rPr>
                <w:rFonts w:ascii="Arial" w:hAnsi="Arial" w:cs="Arial"/>
                <w:b/>
                <w:bCs/>
                <w:color w:val="252525"/>
              </w:rPr>
              <w:t>%)</w:t>
            </w:r>
          </w:p>
        </w:tc>
      </w:tr>
      <w:tr w:rsidR="002A7845" w:rsidRPr="00FC7863" w14:paraId="6C3EC3AC" w14:textId="77777777">
        <w:tc>
          <w:tcPr>
            <w:tcW w:w="2340" w:type="dxa"/>
            <w:tcBorders>
              <w:top w:val="nil"/>
              <w:left w:val="nil"/>
              <w:bottom w:val="nil"/>
              <w:right w:val="nil"/>
            </w:tcBorders>
            <w:tcMar>
              <w:top w:w="20" w:type="dxa"/>
              <w:left w:w="20" w:type="dxa"/>
              <w:bottom w:w="20" w:type="dxa"/>
              <w:right w:w="20" w:type="dxa"/>
            </w:tcMar>
            <w:vAlign w:val="bottom"/>
          </w:tcPr>
          <w:p w14:paraId="54361061" w14:textId="77777777"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14:paraId="391F3C25"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7E532849"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573D7859"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14:paraId="3EE5996B"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093B6222"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46307809" w14:textId="77777777" w:rsidR="00AC64DF" w:rsidRDefault="00F61E87" w:rsidP="00AC64DF">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1F009F">
        <w:rPr>
          <w:rFonts w:ascii="Arial" w:hAnsi="Arial" w:cs="Arial"/>
          <w:color w:val="252525"/>
        </w:rPr>
        <w:t xml:space="preserve"> issued NDPERS</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p>
    <w:p w14:paraId="4C79C843" w14:textId="77777777" w:rsidR="000566E5" w:rsidRDefault="000566E5" w:rsidP="00AC64DF">
      <w:pPr>
        <w:widowControl w:val="0"/>
        <w:suppressAutoHyphens/>
        <w:autoSpaceDE w:val="0"/>
        <w:autoSpaceDN w:val="0"/>
        <w:adjustRightInd w:val="0"/>
        <w:spacing w:after="0" w:line="240" w:lineRule="auto"/>
        <w:jc w:val="both"/>
        <w:rPr>
          <w:rFonts w:ascii="Arial" w:hAnsi="Arial" w:cs="Arial"/>
          <w:color w:val="A6A6A6" w:themeColor="background1" w:themeShade="A6"/>
        </w:rPr>
      </w:pPr>
    </w:p>
    <w:p w14:paraId="2C826851" w14:textId="77777777" w:rsidR="00D73F28" w:rsidRDefault="00D73F28" w:rsidP="00FC7863">
      <w:pPr>
        <w:widowControl w:val="0"/>
        <w:suppressAutoHyphens/>
        <w:autoSpaceDE w:val="0"/>
        <w:autoSpaceDN w:val="0"/>
        <w:adjustRightInd w:val="0"/>
        <w:spacing w:after="0" w:line="240" w:lineRule="auto"/>
        <w:rPr>
          <w:rFonts w:ascii="Arial" w:hAnsi="Arial" w:cs="Arial"/>
          <w:b/>
          <w:bCs/>
          <w:color w:val="000000"/>
        </w:rPr>
      </w:pPr>
    </w:p>
    <w:p w14:paraId="21E8A6FF" w14:textId="77777777" w:rsidR="00D73F28" w:rsidRDefault="00D73F28" w:rsidP="00FC7863">
      <w:pPr>
        <w:widowControl w:val="0"/>
        <w:suppressAutoHyphens/>
        <w:autoSpaceDE w:val="0"/>
        <w:autoSpaceDN w:val="0"/>
        <w:adjustRightInd w:val="0"/>
        <w:spacing w:after="0" w:line="240" w:lineRule="auto"/>
        <w:rPr>
          <w:rFonts w:ascii="Arial" w:hAnsi="Arial" w:cs="Arial"/>
          <w:b/>
          <w:bCs/>
          <w:color w:val="000000"/>
        </w:rPr>
      </w:pPr>
    </w:p>
    <w:p w14:paraId="755B479F"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14:paraId="49D78770" w14:textId="77777777"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14:paraId="6C73A415" w14:textId="77777777"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2B6AB603" w14:textId="1EACF255" w:rsidR="00231F49" w:rsidRDefault="00231F49"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6BD96E6F" w14:textId="0F6E9B14"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21400065" w14:textId="2F5BEA06"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742DBF05" w14:textId="1A0610AA"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75BA0852" w14:textId="7CDE2553"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714AE4F3" w14:textId="613E2B99"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291B6706" w14:textId="1B4C0DE0"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1179CA08" w14:textId="77777777"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37D558A6" w14:textId="578B2E3D"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lastRenderedPageBreak/>
        <w:t>Schedules of Required Supplementary Information</w:t>
      </w:r>
    </w:p>
    <w:p w14:paraId="0EB69DB1" w14:textId="77777777"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14:paraId="0ECC4A6C"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14:paraId="4E4FD0C6" w14:textId="77777777" w:rsidR="00855ADA" w:rsidRPr="00855ADA" w:rsidRDefault="001F009F"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 Public Employees Retirement System</w:t>
      </w:r>
    </w:p>
    <w:p w14:paraId="670916F7"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62C2F62B"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sidR="00F11639">
        <w:rPr>
          <w:rFonts w:ascii="Arial" w:hAnsi="Arial" w:cs="Arial"/>
          <w:color w:val="FF0000"/>
        </w:rPr>
        <w:t xml:space="preserve">Section </w:t>
      </w:r>
      <w:r w:rsidR="0022661E">
        <w:rPr>
          <w:rFonts w:ascii="Arial" w:hAnsi="Arial" w:cs="Arial"/>
          <w:color w:val="FF0000"/>
        </w:rPr>
        <w:t>E Schedule of Net Pension Liability by Employer</w:t>
      </w:r>
      <w:r w:rsidRPr="007E3950">
        <w:rPr>
          <w:rFonts w:ascii="Arial" w:hAnsi="Arial" w:cs="Arial"/>
          <w:color w:val="FF0000"/>
        </w:rPr>
        <w:t>)</w:t>
      </w:r>
    </w:p>
    <w:p w14:paraId="6C6AB3CC"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14:paraId="440BF6E3" w14:textId="77777777" w:rsidTr="000C1916">
        <w:tc>
          <w:tcPr>
            <w:tcW w:w="4788" w:type="dxa"/>
          </w:tcPr>
          <w:p w14:paraId="548093B1" w14:textId="77777777"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14:paraId="63AECD6F" w14:textId="72F5BB73" w:rsidR="00855ADA" w:rsidRDefault="00BE622D"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0566E5">
              <w:rPr>
                <w:rFonts w:ascii="Arial" w:hAnsi="Arial" w:cs="Arial"/>
                <w:color w:val="252525"/>
              </w:rPr>
              <w:t>2</w:t>
            </w:r>
            <w:r w:rsidR="003A1A97">
              <w:rPr>
                <w:rFonts w:ascii="Arial" w:hAnsi="Arial" w:cs="Arial"/>
                <w:color w:val="252525"/>
              </w:rPr>
              <w:t>4</w:t>
            </w:r>
          </w:p>
        </w:tc>
      </w:tr>
      <w:tr w:rsidR="00855ADA" w14:paraId="406EB579" w14:textId="77777777" w:rsidTr="00404677">
        <w:trPr>
          <w:trHeight w:val="620"/>
        </w:trPr>
        <w:tc>
          <w:tcPr>
            <w:tcW w:w="4788" w:type="dxa"/>
          </w:tcPr>
          <w:p w14:paraId="1A0B3AF5"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 of the net pension liability (asset)</w:t>
            </w:r>
          </w:p>
        </w:tc>
        <w:tc>
          <w:tcPr>
            <w:tcW w:w="4050" w:type="dxa"/>
            <w:vAlign w:val="center"/>
          </w:tcPr>
          <w:p w14:paraId="3BE19056" w14:textId="77777777"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14:paraId="576B0A15" w14:textId="77777777" w:rsidR="00855ADA" w:rsidRPr="000F74EB" w:rsidRDefault="0022661E" w:rsidP="00055FAA">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1.</w:t>
            </w:r>
          </w:p>
        </w:tc>
      </w:tr>
      <w:tr w:rsidR="00855ADA" w14:paraId="525E0943" w14:textId="77777777" w:rsidTr="00404677">
        <w:trPr>
          <w:trHeight w:val="620"/>
        </w:trPr>
        <w:tc>
          <w:tcPr>
            <w:tcW w:w="4788" w:type="dxa"/>
          </w:tcPr>
          <w:p w14:paraId="7234C7BC"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w:t>
            </w:r>
          </w:p>
        </w:tc>
        <w:tc>
          <w:tcPr>
            <w:tcW w:w="4050" w:type="dxa"/>
            <w:vAlign w:val="center"/>
          </w:tcPr>
          <w:p w14:paraId="6DDF5CE6" w14:textId="77777777"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14:paraId="2CFBC916" w14:textId="77777777"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2.</w:t>
            </w:r>
          </w:p>
        </w:tc>
      </w:tr>
      <w:tr w:rsidR="00855ADA" w14:paraId="661AF427" w14:textId="77777777" w:rsidTr="00404677">
        <w:trPr>
          <w:trHeight w:val="440"/>
        </w:trPr>
        <w:tc>
          <w:tcPr>
            <w:tcW w:w="4788" w:type="dxa"/>
          </w:tcPr>
          <w:p w14:paraId="7C9638FC"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14:paraId="2A152019" w14:textId="77777777"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14:paraId="077D1F00" w14:textId="77777777"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3.</w:t>
            </w:r>
          </w:p>
        </w:tc>
      </w:tr>
      <w:tr w:rsidR="00855ADA" w14:paraId="044889DD" w14:textId="77777777" w:rsidTr="00404677">
        <w:trPr>
          <w:trHeight w:val="890"/>
        </w:trPr>
        <w:tc>
          <w:tcPr>
            <w:tcW w:w="4788" w:type="dxa"/>
          </w:tcPr>
          <w:p w14:paraId="33155C01"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14:paraId="5577520D" w14:textId="77777777"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14:paraId="5D93A5B2" w14:textId="77777777"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14:paraId="6826A328" w14:textId="77777777" w:rsidTr="00404677">
        <w:tc>
          <w:tcPr>
            <w:tcW w:w="4788" w:type="dxa"/>
          </w:tcPr>
          <w:p w14:paraId="6DDDA1D9" w14:textId="77777777"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Plan fiduciary net position as a percentage of the total pension liability</w:t>
            </w:r>
            <w:r w:rsidR="000F74EB">
              <w:rPr>
                <w:rFonts w:ascii="Arial" w:hAnsi="Arial" w:cs="Arial"/>
                <w:color w:val="252525"/>
              </w:rPr>
              <w:t xml:space="preserve"> </w:t>
            </w:r>
          </w:p>
        </w:tc>
        <w:tc>
          <w:tcPr>
            <w:tcW w:w="4050" w:type="dxa"/>
            <w:vAlign w:val="center"/>
          </w:tcPr>
          <w:p w14:paraId="6A96F55F" w14:textId="77777777"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14:paraId="3C501AF3" w14:textId="77777777" w:rsidR="00855ADA" w:rsidRPr="000F74EB" w:rsidRDefault="00FD41FC" w:rsidP="0022661E">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22661E">
              <w:rPr>
                <w:rFonts w:ascii="Arial" w:hAnsi="Arial" w:cs="Arial"/>
                <w:color w:val="FF0000"/>
              </w:rPr>
              <w:t>Section C</w:t>
            </w:r>
            <w:r w:rsidR="00F11639">
              <w:rPr>
                <w:rFonts w:ascii="Arial" w:hAnsi="Arial" w:cs="Arial"/>
                <w:color w:val="FF0000"/>
              </w:rPr>
              <w:t xml:space="preserve"> </w:t>
            </w:r>
            <w:r w:rsidR="0022661E">
              <w:rPr>
                <w:rFonts w:ascii="Arial" w:hAnsi="Arial" w:cs="Arial"/>
                <w:color w:val="FF0000"/>
              </w:rPr>
              <w:t>Schedule of Changes in Net Pension Liability and Related Ratio Current Period – Plan Fiduciary Net Position as a Percentage</w:t>
            </w:r>
          </w:p>
        </w:tc>
      </w:tr>
    </w:tbl>
    <w:p w14:paraId="2D4E2F4B"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2B790A18" w14:textId="77777777"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sidR="00163A66">
        <w:rPr>
          <w:rFonts w:ascii="Arial" w:hAnsi="Arial" w:cs="Arial"/>
          <w:color w:val="252525"/>
        </w:rPr>
        <w:t xml:space="preserve">. </w:t>
      </w:r>
    </w:p>
    <w:p w14:paraId="5D84F6E2" w14:textId="77777777"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14:paraId="510036D5" w14:textId="77777777"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14:paraId="10447774"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2DA74A19"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05D27A53"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76AB8270"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2CB7FD0C"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297380AA"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4F1BC24A"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76F96420"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58831842"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384686E6"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04B2071E" w14:textId="67D0CBDB"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502987B2" w14:textId="64478A29"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278C2036" w14:textId="45BC7EE0"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6B5C273F" w14:textId="495A8DDA"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3200C8AD" w14:textId="631F5E93"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457C236A" w14:textId="77777777"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3CC7AA0B"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52D33EE9"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0D216576"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553E1A29"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4A7E7CDF"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71895904"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14:paraId="3D28DEC5"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ND </w:t>
      </w:r>
      <w:r w:rsidR="001F009F">
        <w:rPr>
          <w:rFonts w:ascii="Arial" w:hAnsi="Arial" w:cs="Arial"/>
          <w:b/>
          <w:color w:val="252525"/>
        </w:rPr>
        <w:t>Public Employees Retirement System</w:t>
      </w:r>
    </w:p>
    <w:p w14:paraId="63F71031" w14:textId="77777777"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183525D5"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sidR="0086353F">
        <w:rPr>
          <w:rFonts w:ascii="Arial" w:hAnsi="Arial" w:cs="Arial"/>
          <w:color w:val="FF0000"/>
        </w:rPr>
        <w:t xml:space="preserve">Section </w:t>
      </w:r>
      <w:r w:rsidR="0022661E">
        <w:rPr>
          <w:rFonts w:ascii="Arial" w:hAnsi="Arial" w:cs="Arial"/>
          <w:color w:val="FF0000"/>
        </w:rPr>
        <w:t>E, Schedule of Contributions by Employer</w:t>
      </w:r>
      <w:r w:rsidRPr="005E18CD">
        <w:rPr>
          <w:rFonts w:ascii="Arial" w:hAnsi="Arial" w:cs="Arial"/>
          <w:color w:val="FF0000"/>
        </w:rPr>
        <w:t>)</w:t>
      </w:r>
    </w:p>
    <w:p w14:paraId="49F923C9"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14:paraId="1F39F8E4" w14:textId="77777777" w:rsidTr="00855ADA">
        <w:tc>
          <w:tcPr>
            <w:tcW w:w="4788" w:type="dxa"/>
          </w:tcPr>
          <w:p w14:paraId="75DEB3D4" w14:textId="77777777"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14:paraId="7BA5B5BC" w14:textId="247BB61B" w:rsidR="00855ADA" w:rsidRDefault="00BE622D"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0566E5">
              <w:rPr>
                <w:rFonts w:ascii="Arial" w:hAnsi="Arial" w:cs="Arial"/>
                <w:color w:val="252525"/>
              </w:rPr>
              <w:t>2</w:t>
            </w:r>
            <w:r w:rsidR="003A1A97">
              <w:rPr>
                <w:rFonts w:ascii="Arial" w:hAnsi="Arial" w:cs="Arial"/>
                <w:color w:val="252525"/>
              </w:rPr>
              <w:t>4</w:t>
            </w:r>
          </w:p>
        </w:tc>
      </w:tr>
      <w:tr w:rsidR="00855ADA" w14:paraId="4FF9E47D" w14:textId="77777777" w:rsidTr="00404677">
        <w:trPr>
          <w:trHeight w:val="440"/>
        </w:trPr>
        <w:tc>
          <w:tcPr>
            <w:tcW w:w="4788" w:type="dxa"/>
          </w:tcPr>
          <w:p w14:paraId="0E0E0598"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14:paraId="4AF945A0"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57F0E7CF" w14:textId="77777777"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14:paraId="4595401E" w14:textId="77777777" w:rsidTr="00404677">
        <w:trPr>
          <w:trHeight w:val="620"/>
        </w:trPr>
        <w:tc>
          <w:tcPr>
            <w:tcW w:w="4788" w:type="dxa"/>
          </w:tcPr>
          <w:p w14:paraId="40BF65A7"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14:paraId="09AB9422"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165E9560"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082E235A" w14:textId="77777777" w:rsidTr="00404677">
        <w:trPr>
          <w:trHeight w:val="404"/>
        </w:trPr>
        <w:tc>
          <w:tcPr>
            <w:tcW w:w="4788" w:type="dxa"/>
          </w:tcPr>
          <w:p w14:paraId="09C99A3D"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14:paraId="162ED9C0" w14:textId="77777777"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14:paraId="1E644816" w14:textId="77777777" w:rsidR="00855ADA" w:rsidRPr="00163A66" w:rsidRDefault="00855ADA" w:rsidP="00926A6E">
            <w:pPr>
              <w:widowControl w:val="0"/>
              <w:suppressAutoHyphens/>
              <w:autoSpaceDE w:val="0"/>
              <w:autoSpaceDN w:val="0"/>
              <w:adjustRightInd w:val="0"/>
              <w:rPr>
                <w:rFonts w:ascii="Arial" w:hAnsi="Arial" w:cs="Arial"/>
                <w:color w:val="252525"/>
                <w:highlight w:val="yellow"/>
              </w:rPr>
            </w:pPr>
          </w:p>
        </w:tc>
      </w:tr>
      <w:tr w:rsidR="00855ADA" w14:paraId="5E5B4A30" w14:textId="77777777" w:rsidTr="00404677">
        <w:trPr>
          <w:trHeight w:val="440"/>
        </w:trPr>
        <w:tc>
          <w:tcPr>
            <w:tcW w:w="4788" w:type="dxa"/>
          </w:tcPr>
          <w:p w14:paraId="6D0EDF60" w14:textId="77777777"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14:paraId="6E9C621B"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14:paraId="006C85F2"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08A9DE36" w14:textId="77777777" w:rsidTr="00404677">
        <w:tc>
          <w:tcPr>
            <w:tcW w:w="4788" w:type="dxa"/>
          </w:tcPr>
          <w:p w14:paraId="6F39F2E5"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14:paraId="1D28303B" w14:textId="77777777"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14:paraId="29CF16C9" w14:textId="77777777" w:rsidR="00855ADA" w:rsidRPr="00163A66" w:rsidRDefault="00855ADA" w:rsidP="005E18CD">
            <w:pPr>
              <w:widowControl w:val="0"/>
              <w:suppressAutoHyphens/>
              <w:autoSpaceDE w:val="0"/>
              <w:autoSpaceDN w:val="0"/>
              <w:adjustRightInd w:val="0"/>
              <w:rPr>
                <w:rFonts w:ascii="Arial" w:hAnsi="Arial" w:cs="Arial"/>
                <w:color w:val="252525"/>
                <w:highlight w:val="yellow"/>
              </w:rPr>
            </w:pPr>
          </w:p>
        </w:tc>
      </w:tr>
    </w:tbl>
    <w:p w14:paraId="77BE7224" w14:textId="77777777"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14:paraId="602DB594" w14:textId="77777777" w:rsidR="007B6790" w:rsidRPr="00231F49" w:rsidRDefault="00855ADA" w:rsidP="00231F49">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p>
    <w:p w14:paraId="549BDB30" w14:textId="77777777" w:rsidR="00D73F28" w:rsidRDefault="00D73F28"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p>
    <w:p w14:paraId="7A3493E8" w14:textId="77777777"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14:paraId="4E1B1275" w14:textId="33B60C49"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0566E5">
        <w:rPr>
          <w:rFonts w:ascii="Arial" w:hAnsi="Arial" w:cs="Arial"/>
          <w:b/>
          <w:bCs/>
          <w:color w:val="252525"/>
          <w:sz w:val="28"/>
          <w:szCs w:val="28"/>
        </w:rPr>
        <w:t>2</w:t>
      </w:r>
      <w:r w:rsidR="003A1A97">
        <w:rPr>
          <w:rFonts w:ascii="Arial" w:hAnsi="Arial" w:cs="Arial"/>
          <w:b/>
          <w:bCs/>
          <w:color w:val="252525"/>
          <w:sz w:val="28"/>
          <w:szCs w:val="28"/>
        </w:rPr>
        <w:t>4</w:t>
      </w:r>
    </w:p>
    <w:p w14:paraId="7F9FF0FC" w14:textId="77777777"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7DF505E3" w14:textId="77777777" w:rsidR="009348EB" w:rsidRPr="00D6323F"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D6323F">
        <w:rPr>
          <w:rFonts w:ascii="Arial" w:hAnsi="Arial" w:cs="Arial"/>
          <w:b/>
          <w:bCs/>
          <w:i/>
          <w:color w:val="252525"/>
        </w:rPr>
        <w:t xml:space="preserve">Changes of benefit terms. </w:t>
      </w:r>
    </w:p>
    <w:p w14:paraId="482A712A" w14:textId="77777777" w:rsidR="003A1A97" w:rsidRDefault="003A1A97" w:rsidP="003A1A97">
      <w:pPr>
        <w:pStyle w:val="Default"/>
      </w:pPr>
    </w:p>
    <w:p w14:paraId="6B6FF54E" w14:textId="74968789" w:rsidR="003A1A97" w:rsidRPr="003A1A97" w:rsidRDefault="003A1A97" w:rsidP="003A1A97">
      <w:pPr>
        <w:autoSpaceDE w:val="0"/>
        <w:autoSpaceDN w:val="0"/>
        <w:adjustRightInd w:val="0"/>
        <w:spacing w:after="0" w:line="240" w:lineRule="auto"/>
        <w:rPr>
          <w:rFonts w:ascii="ArialMT" w:hAnsi="ArialMT" w:cs="ArialMT"/>
        </w:rPr>
      </w:pPr>
      <w:r w:rsidRPr="003A1A97">
        <w:rPr>
          <w:rFonts w:ascii="ArialMT" w:hAnsi="ArialMT" w:cs="ArialMT"/>
        </w:rPr>
        <w:t>In 2023, House Bill 1040 was passed, which closes the Main System to employees newly enrolled into the system on January 1, 2025 and later. The state employer contribution for 2026 and later was changed to be the amount sufficient to fund the Main System on actuarial basis, with the amortization of the unfunded liability determined on a level percent of payroll basis over a closed period beginning on January 1, 2026 and ending June 30, 2056.</w:t>
      </w:r>
    </w:p>
    <w:p w14:paraId="6633843B" w14:textId="77777777" w:rsidR="003A1A97" w:rsidRDefault="003A1A97" w:rsidP="003A1A97">
      <w:pPr>
        <w:pStyle w:val="Default"/>
      </w:pPr>
    </w:p>
    <w:p w14:paraId="5D6C9F6F"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2B2D587E" w14:textId="77777777" w:rsidR="009348EB" w:rsidRPr="00061CF7"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061CF7">
        <w:rPr>
          <w:rFonts w:ascii="Arial" w:hAnsi="Arial" w:cs="Arial"/>
          <w:b/>
          <w:bCs/>
          <w:i/>
          <w:color w:val="252525"/>
        </w:rPr>
        <w:t xml:space="preserve">Changes of assumptions. </w:t>
      </w:r>
    </w:p>
    <w:p w14:paraId="5032CDDA" w14:textId="77777777" w:rsidR="003A1A97" w:rsidRDefault="003A1A97" w:rsidP="003A1A97">
      <w:pPr>
        <w:autoSpaceDE w:val="0"/>
        <w:autoSpaceDN w:val="0"/>
        <w:adjustRightInd w:val="0"/>
        <w:spacing w:after="0" w:line="240" w:lineRule="auto"/>
        <w:rPr>
          <w:rFonts w:ascii="ArialMT" w:hAnsi="ArialMT" w:cs="ArialMT"/>
        </w:rPr>
      </w:pPr>
    </w:p>
    <w:p w14:paraId="24C70D6B" w14:textId="1D2C868F" w:rsidR="003A1A97" w:rsidRDefault="001E2D0D" w:rsidP="003A1A97">
      <w:pPr>
        <w:autoSpaceDE w:val="0"/>
        <w:autoSpaceDN w:val="0"/>
        <w:adjustRightInd w:val="0"/>
        <w:spacing w:after="0" w:line="240" w:lineRule="auto"/>
        <w:rPr>
          <w:rFonts w:ascii="ArialMT" w:hAnsi="ArialMT" w:cs="ArialMT"/>
        </w:rPr>
      </w:pPr>
      <w:r w:rsidRPr="001E2D0D">
        <w:rPr>
          <w:rFonts w:ascii="ArialMT" w:hAnsi="ArialMT" w:cs="ArialMT"/>
        </w:rPr>
        <w:t xml:space="preserve">All actuarial assumptions used in the actuarial valuation as of July 1, 2022 were based on an experience review for the period from July 1, 2014 to July 1, 2019, and were adopted for first use commencing with the actuarial valuation as of July 1, 2020. </w:t>
      </w:r>
      <w:r w:rsidR="003A1A97" w:rsidRPr="003A1A97">
        <w:rPr>
          <w:rFonts w:ascii="ArialMT" w:hAnsi="ArialMT" w:cs="ArialMT"/>
        </w:rPr>
        <w:t xml:space="preserve">There have been no changes in </w:t>
      </w:r>
    </w:p>
    <w:p w14:paraId="15241E3B" w14:textId="636827EC" w:rsidR="003A1A97" w:rsidRDefault="003A1A97" w:rsidP="003A1A97">
      <w:pPr>
        <w:autoSpaceDE w:val="0"/>
        <w:autoSpaceDN w:val="0"/>
        <w:adjustRightInd w:val="0"/>
        <w:spacing w:after="0" w:line="240" w:lineRule="auto"/>
        <w:rPr>
          <w:rFonts w:ascii="ArialMT" w:hAnsi="ArialMT" w:cs="ArialMT"/>
        </w:rPr>
      </w:pPr>
      <w:r w:rsidRPr="003A1A97">
        <w:rPr>
          <w:rFonts w:ascii="ArialMT" w:hAnsi="ArialMT" w:cs="ArialMT"/>
        </w:rPr>
        <w:t>actuarial assumptions since the previous actuarial valuation as of Ju</w:t>
      </w:r>
      <w:r w:rsidR="00594DD4">
        <w:rPr>
          <w:rFonts w:ascii="ArialMT" w:hAnsi="ArialMT" w:cs="ArialMT"/>
        </w:rPr>
        <w:t>ly</w:t>
      </w:r>
      <w:r w:rsidRPr="003A1A97">
        <w:rPr>
          <w:rFonts w:ascii="ArialMT" w:hAnsi="ArialMT" w:cs="ArialMT"/>
        </w:rPr>
        <w:t xml:space="preserve"> </w:t>
      </w:r>
      <w:r w:rsidR="00594DD4">
        <w:rPr>
          <w:rFonts w:ascii="ArialMT" w:hAnsi="ArialMT" w:cs="ArialMT"/>
        </w:rPr>
        <w:t>1</w:t>
      </w:r>
      <w:r w:rsidRPr="003A1A97">
        <w:rPr>
          <w:rFonts w:ascii="ArialMT" w:hAnsi="ArialMT" w:cs="ArialMT"/>
        </w:rPr>
        <w:t>, 2022.</w:t>
      </w:r>
    </w:p>
    <w:p w14:paraId="693ED49D" w14:textId="25A86C7E" w:rsidR="009348EB" w:rsidRPr="009348EB" w:rsidRDefault="009348EB" w:rsidP="00D178D2">
      <w:pPr>
        <w:autoSpaceDE w:val="0"/>
        <w:autoSpaceDN w:val="0"/>
        <w:adjustRightInd w:val="0"/>
        <w:spacing w:after="0" w:line="240" w:lineRule="auto"/>
        <w:rPr>
          <w:rFonts w:ascii="Arial" w:hAnsi="Arial" w:cs="Arial"/>
          <w:i/>
          <w:iCs/>
          <w:color w:val="A6A6A6" w:themeColor="background1" w:themeShade="A6"/>
        </w:rPr>
      </w:pPr>
    </w:p>
    <w:sectPr w:rsidR="009348EB" w:rsidRPr="009348EB" w:rsidSect="007B6790">
      <w:headerReference w:type="default" r:id="rId8"/>
      <w:footerReference w:type="default" r:id="rId9"/>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EAC6" w14:textId="77777777" w:rsidR="003207EB" w:rsidRDefault="003207EB">
      <w:pPr>
        <w:spacing w:after="0" w:line="240" w:lineRule="auto"/>
      </w:pPr>
      <w:r>
        <w:separator/>
      </w:r>
    </w:p>
  </w:endnote>
  <w:endnote w:type="continuationSeparator" w:id="0">
    <w:p w14:paraId="216879FB" w14:textId="77777777" w:rsidR="003207EB" w:rsidRDefault="0032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0760"/>
      <w:docPartObj>
        <w:docPartGallery w:val="Page Numbers (Bottom of Page)"/>
        <w:docPartUnique/>
      </w:docPartObj>
    </w:sdtPr>
    <w:sdtEndPr>
      <w:rPr>
        <w:noProof/>
      </w:rPr>
    </w:sdtEndPr>
    <w:sdtContent>
      <w:p w14:paraId="6B8FFDE8" w14:textId="77777777" w:rsidR="003207EB" w:rsidRDefault="003207EB">
        <w:pPr>
          <w:pStyle w:val="Footer"/>
          <w:jc w:val="right"/>
        </w:pPr>
        <w:r>
          <w:fldChar w:fldCharType="begin"/>
        </w:r>
        <w:r>
          <w:instrText xml:space="preserve"> PAGE   \* MERGEFORMAT </w:instrText>
        </w:r>
        <w:r>
          <w:fldChar w:fldCharType="separate"/>
        </w:r>
        <w:r w:rsidR="00BE622D">
          <w:rPr>
            <w:noProof/>
          </w:rPr>
          <w:t>8</w:t>
        </w:r>
        <w:r>
          <w:rPr>
            <w:noProof/>
          </w:rPr>
          <w:fldChar w:fldCharType="end"/>
        </w:r>
      </w:p>
    </w:sdtContent>
  </w:sdt>
  <w:p w14:paraId="0E0CAF49" w14:textId="77777777" w:rsidR="003207EB" w:rsidRDefault="003207EB">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4AA1" w14:textId="77777777" w:rsidR="003207EB" w:rsidRDefault="003207EB">
      <w:pPr>
        <w:spacing w:after="0" w:line="240" w:lineRule="auto"/>
      </w:pPr>
      <w:r>
        <w:separator/>
      </w:r>
    </w:p>
  </w:footnote>
  <w:footnote w:type="continuationSeparator" w:id="0">
    <w:p w14:paraId="160AE63D" w14:textId="77777777" w:rsidR="003207EB" w:rsidRDefault="0032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000"/>
        <w:sz w:val="24"/>
        <w:szCs w:val="24"/>
      </w:rPr>
      <w:id w:val="-1246332608"/>
      <w:docPartObj>
        <w:docPartGallery w:val="Watermarks"/>
        <w:docPartUnique/>
      </w:docPartObj>
    </w:sdtPr>
    <w:sdtEndPr/>
    <w:sdtContent>
      <w:p w14:paraId="1952A2EE" w14:textId="77777777" w:rsidR="003207EB" w:rsidRDefault="00D455AD">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w14:anchorId="0E976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A16863"/>
    <w:multiLevelType w:val="hybridMultilevel"/>
    <w:tmpl w:val="C51A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F97464"/>
    <w:multiLevelType w:val="singleLevel"/>
    <w:tmpl w:val="5007D466"/>
    <w:lvl w:ilvl="0">
      <w:numFmt w:val="decimal"/>
      <w:lvlText w:val="•"/>
      <w:lvlJc w:val="left"/>
    </w:lvl>
  </w:abstractNum>
  <w:abstractNum w:abstractNumId="47" w15:restartNumberingAfterBreak="0">
    <w:nsid w:val="2D6C2F99"/>
    <w:multiLevelType w:val="singleLevel"/>
    <w:tmpl w:val="61A38C8C"/>
    <w:lvl w:ilvl="0">
      <w:numFmt w:val="decimal"/>
      <w:lvlText w:val=" "/>
      <w:lvlJc w:val="left"/>
    </w:lvl>
  </w:abstractNum>
  <w:abstractNum w:abstractNumId="48" w15:restartNumberingAfterBreak="0">
    <w:nsid w:val="3A038CC5"/>
    <w:multiLevelType w:val="singleLevel"/>
    <w:tmpl w:val="352C7967"/>
    <w:lvl w:ilvl="0">
      <w:numFmt w:val="decimal"/>
      <w:lvlText w:val=" "/>
      <w:lvlJc w:val="left"/>
    </w:lvl>
  </w:abstractNum>
  <w:abstractNum w:abstractNumId="49" w15:restartNumberingAfterBreak="0">
    <w:nsid w:val="3C0B5F4D"/>
    <w:multiLevelType w:val="singleLevel"/>
    <w:tmpl w:val="2FA1C34B"/>
    <w:lvl w:ilvl="0">
      <w:numFmt w:val="decimal"/>
      <w:lvlText w:val=" "/>
      <w:lvlJc w:val="left"/>
    </w:lvl>
  </w:abstractNum>
  <w:abstractNum w:abstractNumId="50" w15:restartNumberingAfterBreak="0">
    <w:nsid w:val="428B9A6D"/>
    <w:multiLevelType w:val="singleLevel"/>
    <w:tmpl w:val="B8F52C14"/>
    <w:lvl w:ilvl="0">
      <w:numFmt w:val="decimal"/>
      <w:lvlText w:val=" "/>
      <w:lvlJc w:val="left"/>
    </w:lvl>
  </w:abstractNum>
  <w:abstractNum w:abstractNumId="51" w15:restartNumberingAfterBreak="0">
    <w:nsid w:val="44DED53B"/>
    <w:multiLevelType w:val="singleLevel"/>
    <w:tmpl w:val="82233633"/>
    <w:lvl w:ilvl="0">
      <w:numFmt w:val="decimal"/>
      <w:lvlText w:val=" "/>
      <w:lvlJc w:val="left"/>
    </w:lvl>
  </w:abstractNum>
  <w:abstractNum w:abstractNumId="52" w15:restartNumberingAfterBreak="0">
    <w:nsid w:val="44E29F36"/>
    <w:multiLevelType w:val="singleLevel"/>
    <w:tmpl w:val="16C89526"/>
    <w:lvl w:ilvl="0">
      <w:numFmt w:val="decimal"/>
      <w:lvlText w:val="•"/>
      <w:lvlJc w:val="left"/>
    </w:lvl>
  </w:abstractNum>
  <w:abstractNum w:abstractNumId="53" w15:restartNumberingAfterBreak="0">
    <w:nsid w:val="4AF47040"/>
    <w:multiLevelType w:val="singleLevel"/>
    <w:tmpl w:val="3E1CA149"/>
    <w:lvl w:ilvl="0">
      <w:numFmt w:val="decimal"/>
      <w:lvlText w:val=" "/>
      <w:lvlJc w:val="left"/>
    </w:lvl>
  </w:abstractNum>
  <w:abstractNum w:abstractNumId="54" w15:restartNumberingAfterBreak="0">
    <w:nsid w:val="4B6DACC7"/>
    <w:multiLevelType w:val="singleLevel"/>
    <w:tmpl w:val="4A5EE9DA"/>
    <w:lvl w:ilvl="0">
      <w:numFmt w:val="decimal"/>
      <w:lvlText w:val="•"/>
      <w:lvlJc w:val="left"/>
    </w:lvl>
  </w:abstractNum>
  <w:abstractNum w:abstractNumId="55" w15:restartNumberingAfterBreak="0">
    <w:nsid w:val="5013159A"/>
    <w:multiLevelType w:val="singleLevel"/>
    <w:tmpl w:val="CDB1035D"/>
    <w:lvl w:ilvl="0">
      <w:numFmt w:val="decimal"/>
      <w:lvlText w:val="•"/>
      <w:lvlJc w:val="left"/>
    </w:lvl>
  </w:abstractNum>
  <w:abstractNum w:abstractNumId="56" w15:restartNumberingAfterBreak="0">
    <w:nsid w:val="50D7A38B"/>
    <w:multiLevelType w:val="singleLevel"/>
    <w:tmpl w:val="6CB3F1DE"/>
    <w:lvl w:ilvl="0">
      <w:numFmt w:val="decimal"/>
      <w:lvlText w:val=" "/>
      <w:lvlJc w:val="left"/>
    </w:lvl>
  </w:abstractNum>
  <w:abstractNum w:abstractNumId="57" w15:restartNumberingAfterBreak="0">
    <w:nsid w:val="529699CD"/>
    <w:multiLevelType w:val="singleLevel"/>
    <w:tmpl w:val="33B4B52F"/>
    <w:lvl w:ilvl="0">
      <w:numFmt w:val="decimal"/>
      <w:lvlText w:val="•"/>
      <w:lvlJc w:val="left"/>
    </w:lvl>
  </w:abstractNum>
  <w:abstractNum w:abstractNumId="58" w15:restartNumberingAfterBreak="0">
    <w:nsid w:val="52CD5C08"/>
    <w:multiLevelType w:val="hybridMultilevel"/>
    <w:tmpl w:val="C9E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3D2F9C"/>
    <w:multiLevelType w:val="singleLevel"/>
    <w:tmpl w:val="41FFE8F0"/>
    <w:lvl w:ilvl="0">
      <w:numFmt w:val="decimal"/>
      <w:lvlText w:val="•"/>
      <w:lvlJc w:val="left"/>
    </w:lvl>
  </w:abstractNum>
  <w:abstractNum w:abstractNumId="60" w15:restartNumberingAfterBreak="0">
    <w:nsid w:val="53D80004"/>
    <w:multiLevelType w:val="singleLevel"/>
    <w:tmpl w:val="03E40858"/>
    <w:lvl w:ilvl="0">
      <w:numFmt w:val="decimal"/>
      <w:lvlText w:val="•"/>
      <w:lvlJc w:val="left"/>
    </w:lvl>
  </w:abstractNum>
  <w:abstractNum w:abstractNumId="61" w15:restartNumberingAfterBreak="0">
    <w:nsid w:val="5429A923"/>
    <w:multiLevelType w:val="singleLevel"/>
    <w:tmpl w:val="3BBCEB88"/>
    <w:lvl w:ilvl="0">
      <w:numFmt w:val="decimal"/>
      <w:lvlText w:val=" "/>
      <w:lvlJc w:val="left"/>
    </w:lvl>
  </w:abstractNum>
  <w:abstractNum w:abstractNumId="62" w15:restartNumberingAfterBreak="0">
    <w:nsid w:val="57825D9F"/>
    <w:multiLevelType w:val="hybridMultilevel"/>
    <w:tmpl w:val="88BC0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808BE1B"/>
    <w:multiLevelType w:val="singleLevel"/>
    <w:tmpl w:val="AB68C1D6"/>
    <w:lvl w:ilvl="0">
      <w:numFmt w:val="decimal"/>
      <w:lvlText w:val="•"/>
      <w:lvlJc w:val="left"/>
    </w:lvl>
  </w:abstractNum>
  <w:abstractNum w:abstractNumId="64" w15:restartNumberingAfterBreak="0">
    <w:nsid w:val="59B4D971"/>
    <w:multiLevelType w:val="singleLevel"/>
    <w:tmpl w:val="DA62EF7A"/>
    <w:lvl w:ilvl="0">
      <w:numFmt w:val="decimal"/>
      <w:lvlText w:val="•"/>
      <w:lvlJc w:val="left"/>
    </w:lvl>
  </w:abstractNum>
  <w:abstractNum w:abstractNumId="65" w15:restartNumberingAfterBreak="0">
    <w:nsid w:val="5B3273FC"/>
    <w:multiLevelType w:val="singleLevel"/>
    <w:tmpl w:val="10363BBD"/>
    <w:lvl w:ilvl="0">
      <w:numFmt w:val="decimal"/>
      <w:lvlText w:val="•"/>
      <w:lvlJc w:val="left"/>
    </w:lvl>
  </w:abstractNum>
  <w:abstractNum w:abstractNumId="66" w15:restartNumberingAfterBreak="0">
    <w:nsid w:val="5D6BDE1E"/>
    <w:multiLevelType w:val="singleLevel"/>
    <w:tmpl w:val="2741F90F"/>
    <w:lvl w:ilvl="0">
      <w:numFmt w:val="decimal"/>
      <w:lvlText w:val=" "/>
      <w:lvlJc w:val="left"/>
    </w:lvl>
  </w:abstractNum>
  <w:abstractNum w:abstractNumId="67" w15:restartNumberingAfterBreak="0">
    <w:nsid w:val="5D9DCEB4"/>
    <w:multiLevelType w:val="singleLevel"/>
    <w:tmpl w:val="D3F5DEB0"/>
    <w:lvl w:ilvl="0">
      <w:numFmt w:val="decimal"/>
      <w:lvlText w:val=" "/>
      <w:lvlJc w:val="left"/>
    </w:lvl>
  </w:abstractNum>
  <w:abstractNum w:abstractNumId="68" w15:restartNumberingAfterBreak="0">
    <w:nsid w:val="5E61A8F7"/>
    <w:multiLevelType w:val="singleLevel"/>
    <w:tmpl w:val="7EF5FF78"/>
    <w:lvl w:ilvl="0">
      <w:numFmt w:val="decimal"/>
      <w:lvlText w:val="•"/>
      <w:lvlJc w:val="left"/>
    </w:lvl>
  </w:abstractNum>
  <w:abstractNum w:abstractNumId="69" w15:restartNumberingAfterBreak="0">
    <w:nsid w:val="5F760D46"/>
    <w:multiLevelType w:val="singleLevel"/>
    <w:tmpl w:val="4F48C96C"/>
    <w:lvl w:ilvl="0">
      <w:numFmt w:val="decimal"/>
      <w:lvlText w:val=" "/>
      <w:lvlJc w:val="left"/>
    </w:lvl>
  </w:abstractNum>
  <w:abstractNum w:abstractNumId="70" w15:restartNumberingAfterBreak="0">
    <w:nsid w:val="613CB008"/>
    <w:multiLevelType w:val="singleLevel"/>
    <w:tmpl w:val="9BDE3009"/>
    <w:lvl w:ilvl="0">
      <w:numFmt w:val="decimal"/>
      <w:lvlText w:val=" "/>
      <w:lvlJc w:val="left"/>
    </w:lvl>
  </w:abstractNum>
  <w:abstractNum w:abstractNumId="71" w15:restartNumberingAfterBreak="0">
    <w:nsid w:val="64EF0A98"/>
    <w:multiLevelType w:val="singleLevel"/>
    <w:tmpl w:val="D809AEC3"/>
    <w:lvl w:ilvl="0">
      <w:numFmt w:val="decimal"/>
      <w:lvlText w:val="•"/>
      <w:lvlJc w:val="left"/>
    </w:lvl>
  </w:abstractNum>
  <w:abstractNum w:abstractNumId="72"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E6357B"/>
    <w:multiLevelType w:val="singleLevel"/>
    <w:tmpl w:val="DB237B1D"/>
    <w:lvl w:ilvl="0">
      <w:numFmt w:val="decimal"/>
      <w:lvlText w:val="•"/>
      <w:lvlJc w:val="left"/>
    </w:lvl>
  </w:abstractNum>
  <w:abstractNum w:abstractNumId="74" w15:restartNumberingAfterBreak="0">
    <w:nsid w:val="692B33CC"/>
    <w:multiLevelType w:val="singleLevel"/>
    <w:tmpl w:val="7E6AA8C6"/>
    <w:lvl w:ilvl="0">
      <w:numFmt w:val="decimal"/>
      <w:lvlText w:val="•"/>
      <w:lvlJc w:val="left"/>
    </w:lvl>
  </w:abstractNum>
  <w:abstractNum w:abstractNumId="75" w15:restartNumberingAfterBreak="0">
    <w:nsid w:val="693A6C42"/>
    <w:multiLevelType w:val="singleLevel"/>
    <w:tmpl w:val="DABB4A42"/>
    <w:lvl w:ilvl="0">
      <w:numFmt w:val="decimal"/>
      <w:lvlText w:val=" "/>
      <w:lvlJc w:val="left"/>
    </w:lvl>
  </w:abstractNum>
  <w:abstractNum w:abstractNumId="76" w15:restartNumberingAfterBreak="0">
    <w:nsid w:val="6AC65CA3"/>
    <w:multiLevelType w:val="singleLevel"/>
    <w:tmpl w:val="512539AB"/>
    <w:lvl w:ilvl="0">
      <w:numFmt w:val="decimal"/>
      <w:lvlText w:val=" "/>
      <w:lvlJc w:val="left"/>
    </w:lvl>
  </w:abstractNum>
  <w:abstractNum w:abstractNumId="77" w15:restartNumberingAfterBreak="0">
    <w:nsid w:val="6B2BE3F9"/>
    <w:multiLevelType w:val="singleLevel"/>
    <w:tmpl w:val="7447DB4C"/>
    <w:lvl w:ilvl="0">
      <w:numFmt w:val="decimal"/>
      <w:lvlText w:val="•"/>
      <w:lvlJc w:val="left"/>
    </w:lvl>
  </w:abstractNum>
  <w:abstractNum w:abstractNumId="78" w15:restartNumberingAfterBreak="0">
    <w:nsid w:val="6C9FF7F2"/>
    <w:multiLevelType w:val="singleLevel"/>
    <w:tmpl w:val="88B0ECFD"/>
    <w:lvl w:ilvl="0">
      <w:numFmt w:val="decimal"/>
      <w:lvlText w:val=" "/>
      <w:lvlJc w:val="left"/>
    </w:lvl>
  </w:abstractNum>
  <w:abstractNum w:abstractNumId="79" w15:restartNumberingAfterBreak="0">
    <w:nsid w:val="6F129A1B"/>
    <w:multiLevelType w:val="singleLevel"/>
    <w:tmpl w:val="89FA9CE1"/>
    <w:lvl w:ilvl="0">
      <w:numFmt w:val="decimal"/>
      <w:lvlText w:val="•"/>
      <w:lvlJc w:val="left"/>
    </w:lvl>
  </w:abstractNum>
  <w:abstractNum w:abstractNumId="80" w15:restartNumberingAfterBreak="0">
    <w:nsid w:val="70511635"/>
    <w:multiLevelType w:val="singleLevel"/>
    <w:tmpl w:val="36EB7A82"/>
    <w:lvl w:ilvl="0">
      <w:numFmt w:val="decimal"/>
      <w:lvlText w:val="•"/>
      <w:lvlJc w:val="left"/>
    </w:lvl>
  </w:abstractNum>
  <w:abstractNum w:abstractNumId="81" w15:restartNumberingAfterBreak="0">
    <w:nsid w:val="72A90DB4"/>
    <w:multiLevelType w:val="singleLevel"/>
    <w:tmpl w:val="3CC8A2C7"/>
    <w:lvl w:ilvl="0">
      <w:numFmt w:val="decimal"/>
      <w:lvlText w:val="•"/>
      <w:lvlJc w:val="left"/>
    </w:lvl>
  </w:abstractNum>
  <w:abstractNum w:abstractNumId="82" w15:restartNumberingAfterBreak="0">
    <w:nsid w:val="7993B6B2"/>
    <w:multiLevelType w:val="singleLevel"/>
    <w:tmpl w:val="17D58C35"/>
    <w:lvl w:ilvl="0">
      <w:numFmt w:val="decimal"/>
      <w:lvlText w:val="•"/>
      <w:lvlJc w:val="left"/>
    </w:lvl>
  </w:abstractNum>
  <w:abstractNum w:abstractNumId="83" w15:restartNumberingAfterBreak="0">
    <w:nsid w:val="7AF563B6"/>
    <w:multiLevelType w:val="singleLevel"/>
    <w:tmpl w:val="AF158AC9"/>
    <w:lvl w:ilvl="0">
      <w:numFmt w:val="decimal"/>
      <w:lvlText w:val=" "/>
      <w:lvlJc w:val="left"/>
    </w:lvl>
  </w:abstractNum>
  <w:abstractNum w:abstractNumId="84" w15:restartNumberingAfterBreak="0">
    <w:nsid w:val="7EB9154E"/>
    <w:multiLevelType w:val="singleLevel"/>
    <w:tmpl w:val="B342567C"/>
    <w:lvl w:ilvl="0">
      <w:numFmt w:val="decimal"/>
      <w:lvlText w:val=" "/>
      <w:lvlJc w:val="left"/>
    </w:lvl>
  </w:abstractNum>
  <w:abstractNum w:abstractNumId="85" w15:restartNumberingAfterBreak="0">
    <w:nsid w:val="7EE65810"/>
    <w:multiLevelType w:val="singleLevel"/>
    <w:tmpl w:val="5B66065C"/>
    <w:lvl w:ilvl="0">
      <w:numFmt w:val="decimal"/>
      <w:lvlText w:val=" "/>
      <w:lvlJc w:val="left"/>
    </w:lvl>
  </w:abstractNum>
  <w:num w:numId="1" w16cid:durableId="354693799">
    <w:abstractNumId w:val="77"/>
  </w:num>
  <w:num w:numId="2" w16cid:durableId="124010114">
    <w:abstractNumId w:val="5"/>
  </w:num>
  <w:num w:numId="3" w16cid:durableId="904071000">
    <w:abstractNumId w:val="79"/>
  </w:num>
  <w:num w:numId="4" w16cid:durableId="1019695515">
    <w:abstractNumId w:val="47"/>
  </w:num>
  <w:num w:numId="5" w16cid:durableId="1253465830">
    <w:abstractNumId w:val="80"/>
  </w:num>
  <w:num w:numId="6" w16cid:durableId="916481322">
    <w:abstractNumId w:val="43"/>
  </w:num>
  <w:num w:numId="7" w16cid:durableId="583146267">
    <w:abstractNumId w:val="68"/>
  </w:num>
  <w:num w:numId="8" w16cid:durableId="919023574">
    <w:abstractNumId w:val="61"/>
  </w:num>
  <w:num w:numId="9" w16cid:durableId="791098220">
    <w:abstractNumId w:val="11"/>
  </w:num>
  <w:num w:numId="10" w16cid:durableId="1842427779">
    <w:abstractNumId w:val="83"/>
  </w:num>
  <w:num w:numId="11" w16cid:durableId="1561094555">
    <w:abstractNumId w:val="17"/>
  </w:num>
  <w:num w:numId="12" w16cid:durableId="1229000546">
    <w:abstractNumId w:val="29"/>
  </w:num>
  <w:num w:numId="13" w16cid:durableId="1862813337">
    <w:abstractNumId w:val="81"/>
  </w:num>
  <w:num w:numId="14" w16cid:durableId="242685238">
    <w:abstractNumId w:val="31"/>
  </w:num>
  <w:num w:numId="15" w16cid:durableId="1663922855">
    <w:abstractNumId w:val="82"/>
  </w:num>
  <w:num w:numId="16" w16cid:durableId="1703096411">
    <w:abstractNumId w:val="44"/>
  </w:num>
  <w:num w:numId="17" w16cid:durableId="1038974225">
    <w:abstractNumId w:val="14"/>
  </w:num>
  <w:num w:numId="18" w16cid:durableId="976880768">
    <w:abstractNumId w:val="6"/>
  </w:num>
  <w:num w:numId="19" w16cid:durableId="655887984">
    <w:abstractNumId w:val="55"/>
  </w:num>
  <w:num w:numId="20" w16cid:durableId="145244542">
    <w:abstractNumId w:val="16"/>
  </w:num>
  <w:num w:numId="21" w16cid:durableId="1275673692">
    <w:abstractNumId w:val="34"/>
  </w:num>
  <w:num w:numId="22" w16cid:durableId="1555852561">
    <w:abstractNumId w:val="48"/>
  </w:num>
  <w:num w:numId="23" w16cid:durableId="610630909">
    <w:abstractNumId w:val="10"/>
  </w:num>
  <w:num w:numId="24" w16cid:durableId="1506673387">
    <w:abstractNumId w:val="22"/>
  </w:num>
  <w:num w:numId="25" w16cid:durableId="460000413">
    <w:abstractNumId w:val="57"/>
  </w:num>
  <w:num w:numId="26" w16cid:durableId="271986124">
    <w:abstractNumId w:val="23"/>
  </w:num>
  <w:num w:numId="27" w16cid:durableId="2032686880">
    <w:abstractNumId w:val="13"/>
  </w:num>
  <w:num w:numId="28" w16cid:durableId="761149503">
    <w:abstractNumId w:val="56"/>
  </w:num>
  <w:num w:numId="29" w16cid:durableId="2072848463">
    <w:abstractNumId w:val="52"/>
  </w:num>
  <w:num w:numId="30" w16cid:durableId="1066221581">
    <w:abstractNumId w:val="0"/>
  </w:num>
  <w:num w:numId="31" w16cid:durableId="1841774651">
    <w:abstractNumId w:val="1"/>
  </w:num>
  <w:num w:numId="32" w16cid:durableId="1258710202">
    <w:abstractNumId w:val="49"/>
  </w:num>
  <w:num w:numId="33" w16cid:durableId="263072829">
    <w:abstractNumId w:val="4"/>
  </w:num>
  <w:num w:numId="34" w16cid:durableId="1614046263">
    <w:abstractNumId w:val="50"/>
  </w:num>
  <w:num w:numId="35" w16cid:durableId="1231431026">
    <w:abstractNumId w:val="46"/>
  </w:num>
  <w:num w:numId="36" w16cid:durableId="1854683339">
    <w:abstractNumId w:val="2"/>
  </w:num>
  <w:num w:numId="37" w16cid:durableId="1486891679">
    <w:abstractNumId w:val="32"/>
  </w:num>
  <w:num w:numId="38" w16cid:durableId="900748506">
    <w:abstractNumId w:val="53"/>
  </w:num>
  <w:num w:numId="39" w16cid:durableId="790828794">
    <w:abstractNumId w:val="54"/>
  </w:num>
  <w:num w:numId="40" w16cid:durableId="2078816211">
    <w:abstractNumId w:val="28"/>
  </w:num>
  <w:num w:numId="41" w16cid:durableId="866255232">
    <w:abstractNumId w:val="21"/>
  </w:num>
  <w:num w:numId="42" w16cid:durableId="1848474222">
    <w:abstractNumId w:val="26"/>
  </w:num>
  <w:num w:numId="43" w16cid:durableId="1368800200">
    <w:abstractNumId w:val="8"/>
  </w:num>
  <w:num w:numId="44" w16cid:durableId="1248618124">
    <w:abstractNumId w:val="18"/>
  </w:num>
  <w:num w:numId="45" w16cid:durableId="1213998939">
    <w:abstractNumId w:val="64"/>
  </w:num>
  <w:num w:numId="46" w16cid:durableId="629285979">
    <w:abstractNumId w:val="66"/>
  </w:num>
  <w:num w:numId="47" w16cid:durableId="509372539">
    <w:abstractNumId w:val="7"/>
  </w:num>
  <w:num w:numId="48" w16cid:durableId="1422288920">
    <w:abstractNumId w:val="69"/>
  </w:num>
  <w:num w:numId="49" w16cid:durableId="1058088202">
    <w:abstractNumId w:val="59"/>
  </w:num>
  <w:num w:numId="50" w16cid:durableId="12804894">
    <w:abstractNumId w:val="9"/>
  </w:num>
  <w:num w:numId="51" w16cid:durableId="1206478892">
    <w:abstractNumId w:val="25"/>
  </w:num>
  <w:num w:numId="52" w16cid:durableId="456528001">
    <w:abstractNumId w:val="75"/>
  </w:num>
  <w:num w:numId="53" w16cid:durableId="66071213">
    <w:abstractNumId w:val="20"/>
  </w:num>
  <w:num w:numId="54" w16cid:durableId="1323892867">
    <w:abstractNumId w:val="78"/>
  </w:num>
  <w:num w:numId="55" w16cid:durableId="1001785000">
    <w:abstractNumId w:val="73"/>
  </w:num>
  <w:num w:numId="56" w16cid:durableId="605620322">
    <w:abstractNumId w:val="24"/>
  </w:num>
  <w:num w:numId="57" w16cid:durableId="1317343284">
    <w:abstractNumId w:val="74"/>
  </w:num>
  <w:num w:numId="58" w16cid:durableId="1676607790">
    <w:abstractNumId w:val="70"/>
  </w:num>
  <w:num w:numId="59" w16cid:durableId="722945558">
    <w:abstractNumId w:val="63"/>
  </w:num>
  <w:num w:numId="60" w16cid:durableId="1754158418">
    <w:abstractNumId w:val="19"/>
  </w:num>
  <w:num w:numId="61" w16cid:durableId="463351172">
    <w:abstractNumId w:val="41"/>
  </w:num>
  <w:num w:numId="62" w16cid:durableId="418985307">
    <w:abstractNumId w:val="40"/>
  </w:num>
  <w:num w:numId="63" w16cid:durableId="2087071618">
    <w:abstractNumId w:val="60"/>
  </w:num>
  <w:num w:numId="64" w16cid:durableId="1433936812">
    <w:abstractNumId w:val="3"/>
  </w:num>
  <w:num w:numId="65" w16cid:durableId="542981063">
    <w:abstractNumId w:val="38"/>
  </w:num>
  <w:num w:numId="66" w16cid:durableId="1566139264">
    <w:abstractNumId w:val="84"/>
  </w:num>
  <w:num w:numId="67" w16cid:durableId="1164393295">
    <w:abstractNumId w:val="65"/>
  </w:num>
  <w:num w:numId="68" w16cid:durableId="427047637">
    <w:abstractNumId w:val="35"/>
  </w:num>
  <w:num w:numId="69" w16cid:durableId="1478495213">
    <w:abstractNumId w:val="37"/>
  </w:num>
  <w:num w:numId="70" w16cid:durableId="1972976251">
    <w:abstractNumId w:val="76"/>
  </w:num>
  <w:num w:numId="71" w16cid:durableId="1732734084">
    <w:abstractNumId w:val="33"/>
  </w:num>
  <w:num w:numId="72" w16cid:durableId="1536651727">
    <w:abstractNumId w:val="51"/>
  </w:num>
  <w:num w:numId="73" w16cid:durableId="601456145">
    <w:abstractNumId w:val="27"/>
  </w:num>
  <w:num w:numId="74" w16cid:durableId="1633709667">
    <w:abstractNumId w:val="85"/>
  </w:num>
  <w:num w:numId="75" w16cid:durableId="594943721">
    <w:abstractNumId w:val="30"/>
  </w:num>
  <w:num w:numId="76" w16cid:durableId="1587377007">
    <w:abstractNumId w:val="12"/>
  </w:num>
  <w:num w:numId="77" w16cid:durableId="1617248499">
    <w:abstractNumId w:val="39"/>
  </w:num>
  <w:num w:numId="78" w16cid:durableId="985621120">
    <w:abstractNumId w:val="15"/>
  </w:num>
  <w:num w:numId="79" w16cid:durableId="919405463">
    <w:abstractNumId w:val="71"/>
  </w:num>
  <w:num w:numId="80" w16cid:durableId="507907802">
    <w:abstractNumId w:val="67"/>
  </w:num>
  <w:num w:numId="81" w16cid:durableId="1806314072">
    <w:abstractNumId w:val="36"/>
  </w:num>
  <w:num w:numId="82" w16cid:durableId="391931437">
    <w:abstractNumId w:val="72"/>
  </w:num>
  <w:num w:numId="83" w16cid:durableId="1165240896">
    <w:abstractNumId w:val="42"/>
  </w:num>
  <w:num w:numId="84" w16cid:durableId="1844010584">
    <w:abstractNumId w:val="45"/>
  </w:num>
  <w:num w:numId="85" w16cid:durableId="1867676714">
    <w:abstractNumId w:val="58"/>
  </w:num>
  <w:num w:numId="86" w16cid:durableId="1959332765">
    <w:abstractNumId w:val="6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2E"/>
    <w:rsid w:val="00002598"/>
    <w:rsid w:val="00023C36"/>
    <w:rsid w:val="00042E17"/>
    <w:rsid w:val="00050942"/>
    <w:rsid w:val="00055FAA"/>
    <w:rsid w:val="000566E5"/>
    <w:rsid w:val="00061CF7"/>
    <w:rsid w:val="00067FA6"/>
    <w:rsid w:val="000C1916"/>
    <w:rsid w:val="000D15F2"/>
    <w:rsid w:val="000D1E61"/>
    <w:rsid w:val="000D3935"/>
    <w:rsid w:val="000D57CA"/>
    <w:rsid w:val="000D60A8"/>
    <w:rsid w:val="000F49B3"/>
    <w:rsid w:val="000F5647"/>
    <w:rsid w:val="000F74EB"/>
    <w:rsid w:val="0012351A"/>
    <w:rsid w:val="0015168F"/>
    <w:rsid w:val="00163A66"/>
    <w:rsid w:val="00191015"/>
    <w:rsid w:val="001A7078"/>
    <w:rsid w:val="001B2751"/>
    <w:rsid w:val="001C3013"/>
    <w:rsid w:val="001C326F"/>
    <w:rsid w:val="001E2D0D"/>
    <w:rsid w:val="001E2E53"/>
    <w:rsid w:val="001F009F"/>
    <w:rsid w:val="001F03FE"/>
    <w:rsid w:val="001F3634"/>
    <w:rsid w:val="00206351"/>
    <w:rsid w:val="00210673"/>
    <w:rsid w:val="002120A9"/>
    <w:rsid w:val="00215698"/>
    <w:rsid w:val="0021779C"/>
    <w:rsid w:val="002207FC"/>
    <w:rsid w:val="00222FF6"/>
    <w:rsid w:val="0022661E"/>
    <w:rsid w:val="00231F49"/>
    <w:rsid w:val="002564E7"/>
    <w:rsid w:val="00276776"/>
    <w:rsid w:val="0027696B"/>
    <w:rsid w:val="00282B55"/>
    <w:rsid w:val="00282C1E"/>
    <w:rsid w:val="002875B3"/>
    <w:rsid w:val="00292BFC"/>
    <w:rsid w:val="002A6F17"/>
    <w:rsid w:val="002A7845"/>
    <w:rsid w:val="002B3DCE"/>
    <w:rsid w:val="002D6952"/>
    <w:rsid w:val="002E1900"/>
    <w:rsid w:val="002F7FAD"/>
    <w:rsid w:val="00313046"/>
    <w:rsid w:val="00317F10"/>
    <w:rsid w:val="003207EB"/>
    <w:rsid w:val="003633D9"/>
    <w:rsid w:val="00364963"/>
    <w:rsid w:val="00391569"/>
    <w:rsid w:val="00395AF2"/>
    <w:rsid w:val="003A1A97"/>
    <w:rsid w:val="003A3063"/>
    <w:rsid w:val="003B0C4F"/>
    <w:rsid w:val="003B3015"/>
    <w:rsid w:val="003E776E"/>
    <w:rsid w:val="003F6F41"/>
    <w:rsid w:val="00404677"/>
    <w:rsid w:val="004047BC"/>
    <w:rsid w:val="00405436"/>
    <w:rsid w:val="00413729"/>
    <w:rsid w:val="0042340F"/>
    <w:rsid w:val="0045208B"/>
    <w:rsid w:val="004567A6"/>
    <w:rsid w:val="00465D34"/>
    <w:rsid w:val="004672D3"/>
    <w:rsid w:val="004731BE"/>
    <w:rsid w:val="00476AE6"/>
    <w:rsid w:val="004830F3"/>
    <w:rsid w:val="0049316F"/>
    <w:rsid w:val="00495C7D"/>
    <w:rsid w:val="004A5CC4"/>
    <w:rsid w:val="004B7471"/>
    <w:rsid w:val="004C0E31"/>
    <w:rsid w:val="004D13DF"/>
    <w:rsid w:val="004D74BC"/>
    <w:rsid w:val="004E2E2E"/>
    <w:rsid w:val="00511189"/>
    <w:rsid w:val="00526CA9"/>
    <w:rsid w:val="00537E6A"/>
    <w:rsid w:val="00540BCC"/>
    <w:rsid w:val="00546C0B"/>
    <w:rsid w:val="005470DA"/>
    <w:rsid w:val="00562FCA"/>
    <w:rsid w:val="005712C9"/>
    <w:rsid w:val="00586DDD"/>
    <w:rsid w:val="00592D70"/>
    <w:rsid w:val="00594DD4"/>
    <w:rsid w:val="00596A60"/>
    <w:rsid w:val="005A3AE8"/>
    <w:rsid w:val="005A6736"/>
    <w:rsid w:val="005B5BE6"/>
    <w:rsid w:val="005C1493"/>
    <w:rsid w:val="005C25A1"/>
    <w:rsid w:val="005D755E"/>
    <w:rsid w:val="005E18CD"/>
    <w:rsid w:val="005F289A"/>
    <w:rsid w:val="0063663C"/>
    <w:rsid w:val="00646DB7"/>
    <w:rsid w:val="006548CF"/>
    <w:rsid w:val="00664689"/>
    <w:rsid w:val="00697CE9"/>
    <w:rsid w:val="006F3CCF"/>
    <w:rsid w:val="006F5A37"/>
    <w:rsid w:val="00716AA9"/>
    <w:rsid w:val="007231D3"/>
    <w:rsid w:val="0072359B"/>
    <w:rsid w:val="00731026"/>
    <w:rsid w:val="00760C40"/>
    <w:rsid w:val="007B6790"/>
    <w:rsid w:val="007C1F1F"/>
    <w:rsid w:val="007E3950"/>
    <w:rsid w:val="007E695A"/>
    <w:rsid w:val="007F021B"/>
    <w:rsid w:val="00827BD3"/>
    <w:rsid w:val="00834450"/>
    <w:rsid w:val="00855ADA"/>
    <w:rsid w:val="0086353F"/>
    <w:rsid w:val="00864FB4"/>
    <w:rsid w:val="00875838"/>
    <w:rsid w:val="008C3CF1"/>
    <w:rsid w:val="0091448D"/>
    <w:rsid w:val="00922F57"/>
    <w:rsid w:val="00926A6E"/>
    <w:rsid w:val="00931B3B"/>
    <w:rsid w:val="009348EB"/>
    <w:rsid w:val="009575FE"/>
    <w:rsid w:val="00957E15"/>
    <w:rsid w:val="00962914"/>
    <w:rsid w:val="009763F4"/>
    <w:rsid w:val="00996962"/>
    <w:rsid w:val="009A0C3A"/>
    <w:rsid w:val="009B0062"/>
    <w:rsid w:val="009C546D"/>
    <w:rsid w:val="009D0FA5"/>
    <w:rsid w:val="00A024EC"/>
    <w:rsid w:val="00A27937"/>
    <w:rsid w:val="00A4308A"/>
    <w:rsid w:val="00A50FE5"/>
    <w:rsid w:val="00A56E41"/>
    <w:rsid w:val="00A64307"/>
    <w:rsid w:val="00A710CC"/>
    <w:rsid w:val="00A8089A"/>
    <w:rsid w:val="00AA1DF5"/>
    <w:rsid w:val="00AB73D3"/>
    <w:rsid w:val="00AC2145"/>
    <w:rsid w:val="00AC64DF"/>
    <w:rsid w:val="00B061D5"/>
    <w:rsid w:val="00B1167B"/>
    <w:rsid w:val="00B13361"/>
    <w:rsid w:val="00B13AE0"/>
    <w:rsid w:val="00B220BC"/>
    <w:rsid w:val="00B26D7D"/>
    <w:rsid w:val="00B3373C"/>
    <w:rsid w:val="00B41811"/>
    <w:rsid w:val="00B466DF"/>
    <w:rsid w:val="00B561D7"/>
    <w:rsid w:val="00B743E6"/>
    <w:rsid w:val="00B76508"/>
    <w:rsid w:val="00B81057"/>
    <w:rsid w:val="00BA14FF"/>
    <w:rsid w:val="00BA1B8A"/>
    <w:rsid w:val="00BA5BF4"/>
    <w:rsid w:val="00BC17E2"/>
    <w:rsid w:val="00BC4EB5"/>
    <w:rsid w:val="00BD164F"/>
    <w:rsid w:val="00BD719D"/>
    <w:rsid w:val="00BE20F5"/>
    <w:rsid w:val="00BE622D"/>
    <w:rsid w:val="00BE7CBB"/>
    <w:rsid w:val="00C14F99"/>
    <w:rsid w:val="00C20EF0"/>
    <w:rsid w:val="00C30D76"/>
    <w:rsid w:val="00C357F4"/>
    <w:rsid w:val="00C4408C"/>
    <w:rsid w:val="00C446A1"/>
    <w:rsid w:val="00C46259"/>
    <w:rsid w:val="00C6620A"/>
    <w:rsid w:val="00C6627C"/>
    <w:rsid w:val="00C72602"/>
    <w:rsid w:val="00C76A57"/>
    <w:rsid w:val="00C81A1F"/>
    <w:rsid w:val="00C852E0"/>
    <w:rsid w:val="00CA1EA9"/>
    <w:rsid w:val="00CA65EF"/>
    <w:rsid w:val="00CC39C4"/>
    <w:rsid w:val="00CE1D36"/>
    <w:rsid w:val="00CF596C"/>
    <w:rsid w:val="00D02C15"/>
    <w:rsid w:val="00D12DD3"/>
    <w:rsid w:val="00D178D2"/>
    <w:rsid w:val="00D21144"/>
    <w:rsid w:val="00D277D1"/>
    <w:rsid w:val="00D321DD"/>
    <w:rsid w:val="00D455AD"/>
    <w:rsid w:val="00D6323F"/>
    <w:rsid w:val="00D73F28"/>
    <w:rsid w:val="00D74C66"/>
    <w:rsid w:val="00D7576E"/>
    <w:rsid w:val="00D941ED"/>
    <w:rsid w:val="00DC62AD"/>
    <w:rsid w:val="00DD26C4"/>
    <w:rsid w:val="00DD4310"/>
    <w:rsid w:val="00DD56B1"/>
    <w:rsid w:val="00DE147D"/>
    <w:rsid w:val="00E27355"/>
    <w:rsid w:val="00E41292"/>
    <w:rsid w:val="00E665BF"/>
    <w:rsid w:val="00E8216D"/>
    <w:rsid w:val="00E83725"/>
    <w:rsid w:val="00EA71C5"/>
    <w:rsid w:val="00EB05EE"/>
    <w:rsid w:val="00ED4181"/>
    <w:rsid w:val="00F0572D"/>
    <w:rsid w:val="00F11639"/>
    <w:rsid w:val="00F307E0"/>
    <w:rsid w:val="00F32EE5"/>
    <w:rsid w:val="00F55B1E"/>
    <w:rsid w:val="00F61E87"/>
    <w:rsid w:val="00FB0602"/>
    <w:rsid w:val="00FC3738"/>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5019DCB"/>
  <w15:docId w15:val="{0C1B26F7-29E8-4258-A1A1-86A7DAA9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33954-B4A1-481D-A7D1-6D276EBF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2714</Words>
  <Characters>15475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Hohbein, Derrick L.</cp:lastModifiedBy>
  <cp:revision>6</cp:revision>
  <cp:lastPrinted>2015-03-07T17:05:00Z</cp:lastPrinted>
  <dcterms:created xsi:type="dcterms:W3CDTF">2024-02-02T13:27:00Z</dcterms:created>
  <dcterms:modified xsi:type="dcterms:W3CDTF">2024-02-02T14:06:00Z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