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4895D" w14:textId="77777777" w:rsidR="00BA14FF" w:rsidRPr="00B220BC" w:rsidRDefault="00BA14FF" w:rsidP="00BA14FF">
      <w:pPr>
        <w:rPr>
          <w:rFonts w:ascii="Arial" w:hAnsi="Arial" w:cs="Arial"/>
          <w:sz w:val="16"/>
          <w:szCs w:val="16"/>
        </w:rPr>
      </w:pPr>
      <w:r w:rsidRPr="005C25A1">
        <w:rPr>
          <w:rFonts w:ascii="Arial" w:hAnsi="Arial" w:cs="Arial"/>
          <w:b/>
          <w:sz w:val="18"/>
          <w:szCs w:val="18"/>
        </w:rPr>
        <w:t>Disclaimer:</w:t>
      </w:r>
      <w:r w:rsidRPr="00BA14FF">
        <w:rPr>
          <w:rFonts w:ascii="Arial" w:hAnsi="Arial" w:cs="Arial"/>
        </w:rPr>
        <w:t xml:space="preserve"> </w:t>
      </w:r>
      <w:r w:rsidRPr="00B220BC">
        <w:rPr>
          <w:rFonts w:ascii="Arial" w:hAnsi="Arial" w:cs="Arial"/>
          <w:sz w:val="16"/>
          <w:szCs w:val="16"/>
        </w:rPr>
        <w:t xml:space="preserve">The GASB </w:t>
      </w:r>
      <w:r w:rsidR="00305021">
        <w:rPr>
          <w:rFonts w:ascii="Arial" w:hAnsi="Arial" w:cs="Arial"/>
          <w:sz w:val="16"/>
          <w:szCs w:val="16"/>
        </w:rPr>
        <w:t>75</w:t>
      </w:r>
      <w:r w:rsidRPr="00B220BC">
        <w:rPr>
          <w:rFonts w:ascii="Arial" w:hAnsi="Arial" w:cs="Arial"/>
          <w:sz w:val="16"/>
          <w:szCs w:val="16"/>
        </w:rPr>
        <w:t xml:space="preserve"> Employer Template Note Disclosures provided by the North Dakota </w:t>
      </w:r>
      <w:r w:rsidR="00526CA9">
        <w:rPr>
          <w:rFonts w:ascii="Arial" w:hAnsi="Arial" w:cs="Arial"/>
          <w:sz w:val="16"/>
          <w:szCs w:val="16"/>
        </w:rPr>
        <w:t>Public Employees Retirement System</w:t>
      </w:r>
      <w:r w:rsidR="005C25A1">
        <w:rPr>
          <w:rFonts w:ascii="Arial" w:hAnsi="Arial" w:cs="Arial"/>
          <w:sz w:val="16"/>
          <w:szCs w:val="16"/>
        </w:rPr>
        <w:t xml:space="preserve"> </w:t>
      </w:r>
      <w:r w:rsidR="00526CA9">
        <w:rPr>
          <w:rFonts w:ascii="Arial" w:hAnsi="Arial" w:cs="Arial"/>
          <w:sz w:val="16"/>
          <w:szCs w:val="16"/>
        </w:rPr>
        <w:t>(NDPERS</w:t>
      </w:r>
      <w:r w:rsidRPr="00B220BC">
        <w:rPr>
          <w:rFonts w:ascii="Arial" w:hAnsi="Arial" w:cs="Arial"/>
          <w:sz w:val="16"/>
          <w:szCs w:val="16"/>
        </w:rPr>
        <w:t>) is intended to provide participating employers with</w:t>
      </w:r>
      <w:r w:rsidR="005C25A1">
        <w:rPr>
          <w:rFonts w:ascii="Arial" w:hAnsi="Arial" w:cs="Arial"/>
          <w:sz w:val="16"/>
          <w:szCs w:val="16"/>
        </w:rPr>
        <w:t xml:space="preserve"> general</w:t>
      </w:r>
      <w:r w:rsidRPr="00B220BC">
        <w:rPr>
          <w:rFonts w:ascii="Arial" w:hAnsi="Arial" w:cs="Arial"/>
          <w:sz w:val="16"/>
          <w:szCs w:val="16"/>
        </w:rPr>
        <w:t xml:space="preserve"> guidance in accounting and financial reporting matters. The materials do not constitute, and should not be treated as, professional advice regarding the use of any particular or financial reporting technique. Every effort has been made to assure the accuracy o</w:t>
      </w:r>
      <w:r w:rsidR="00526CA9">
        <w:rPr>
          <w:rFonts w:ascii="Arial" w:hAnsi="Arial" w:cs="Arial"/>
          <w:sz w:val="16"/>
          <w:szCs w:val="16"/>
        </w:rPr>
        <w:t>f these materials. However, NDPERS</w:t>
      </w:r>
      <w:r w:rsidRPr="00B220BC">
        <w:rPr>
          <w:rFonts w:ascii="Arial" w:hAnsi="Arial" w:cs="Arial"/>
          <w:sz w:val="16"/>
          <w:szCs w:val="16"/>
        </w:rPr>
        <w:t xml:space="preserve"> participating employers and auditors should independently verify all statements made before applying them to a particular fact situation, and should independen</w:t>
      </w:r>
      <w:r w:rsidR="005C25A1">
        <w:rPr>
          <w:rFonts w:ascii="Arial" w:hAnsi="Arial" w:cs="Arial"/>
          <w:sz w:val="16"/>
          <w:szCs w:val="16"/>
        </w:rPr>
        <w:t>t</w:t>
      </w:r>
      <w:r w:rsidRPr="00B220BC">
        <w:rPr>
          <w:rFonts w:ascii="Arial" w:hAnsi="Arial" w:cs="Arial"/>
          <w:sz w:val="16"/>
          <w:szCs w:val="16"/>
        </w:rPr>
        <w:t>ly</w:t>
      </w:r>
      <w:r w:rsidR="005C25A1">
        <w:rPr>
          <w:rFonts w:ascii="Arial" w:hAnsi="Arial" w:cs="Arial"/>
          <w:sz w:val="16"/>
          <w:szCs w:val="16"/>
        </w:rPr>
        <w:t xml:space="preserve"> </w:t>
      </w:r>
      <w:r w:rsidR="005F289A" w:rsidRPr="00B220BC">
        <w:rPr>
          <w:rFonts w:ascii="Arial" w:hAnsi="Arial" w:cs="Arial"/>
          <w:sz w:val="16"/>
          <w:szCs w:val="16"/>
        </w:rPr>
        <w:t>determine</w:t>
      </w:r>
      <w:r w:rsidR="00FB0602">
        <w:rPr>
          <w:rFonts w:ascii="Arial" w:hAnsi="Arial" w:cs="Arial"/>
          <w:sz w:val="16"/>
          <w:szCs w:val="16"/>
        </w:rPr>
        <w:t xml:space="preserve"> </w:t>
      </w:r>
      <w:r w:rsidR="005F289A">
        <w:rPr>
          <w:rFonts w:ascii="Arial" w:hAnsi="Arial" w:cs="Arial"/>
          <w:sz w:val="16"/>
          <w:szCs w:val="16"/>
        </w:rPr>
        <w:t>the</w:t>
      </w:r>
      <w:r w:rsidR="00FB0602">
        <w:rPr>
          <w:rFonts w:ascii="Arial" w:hAnsi="Arial" w:cs="Arial"/>
          <w:sz w:val="16"/>
          <w:szCs w:val="16"/>
        </w:rPr>
        <w:t xml:space="preserve"> </w:t>
      </w:r>
      <w:r w:rsidR="005C25A1">
        <w:rPr>
          <w:rFonts w:ascii="Arial" w:hAnsi="Arial" w:cs="Arial"/>
          <w:sz w:val="16"/>
          <w:szCs w:val="16"/>
        </w:rPr>
        <w:t>c</w:t>
      </w:r>
      <w:r w:rsidRPr="00B220BC">
        <w:rPr>
          <w:rFonts w:ascii="Arial" w:hAnsi="Arial" w:cs="Arial"/>
          <w:sz w:val="16"/>
          <w:szCs w:val="16"/>
        </w:rPr>
        <w:t xml:space="preserve">onsequences of any particular technique before implementing.  </w:t>
      </w:r>
    </w:p>
    <w:p w14:paraId="7AF666FC" w14:textId="77777777" w:rsidR="005F289A" w:rsidRDefault="005F289A" w:rsidP="00E8216D">
      <w:pPr>
        <w:widowControl w:val="0"/>
        <w:suppressAutoHyphens/>
        <w:autoSpaceDE w:val="0"/>
        <w:autoSpaceDN w:val="0"/>
        <w:adjustRightInd w:val="0"/>
        <w:spacing w:before="20" w:after="0" w:line="396" w:lineRule="auto"/>
        <w:ind w:left="100"/>
        <w:rPr>
          <w:rFonts w:ascii="Arial" w:hAnsi="Arial" w:cs="Arial"/>
          <w:b/>
          <w:bCs/>
          <w:color w:val="252525"/>
        </w:rPr>
      </w:pPr>
    </w:p>
    <w:p w14:paraId="59D9C635" w14:textId="77777777" w:rsidR="00E8216D" w:rsidRPr="000D57CA" w:rsidRDefault="00E8216D" w:rsidP="00E8216D">
      <w:pPr>
        <w:widowControl w:val="0"/>
        <w:suppressAutoHyphens/>
        <w:autoSpaceDE w:val="0"/>
        <w:autoSpaceDN w:val="0"/>
        <w:adjustRightInd w:val="0"/>
        <w:spacing w:before="20" w:after="0" w:line="396" w:lineRule="auto"/>
        <w:ind w:left="100"/>
        <w:rPr>
          <w:rFonts w:ascii="Arial" w:hAnsi="Arial" w:cs="Arial"/>
          <w:b/>
          <w:bCs/>
        </w:rPr>
      </w:pPr>
      <w:r w:rsidRPr="005F289A">
        <w:rPr>
          <w:rFonts w:ascii="Arial" w:hAnsi="Arial" w:cs="Arial"/>
          <w:b/>
          <w:bCs/>
          <w:color w:val="252525"/>
        </w:rPr>
        <w:t xml:space="preserve">NOTE: Items in </w:t>
      </w:r>
      <w:r w:rsidRPr="005F289A">
        <w:rPr>
          <w:rFonts w:ascii="Arial" w:hAnsi="Arial" w:cs="Arial"/>
          <w:b/>
          <w:bCs/>
          <w:color w:val="252525"/>
          <w:highlight w:val="yellow"/>
        </w:rPr>
        <w:t>yellow</w:t>
      </w:r>
      <w:r w:rsidRPr="005F289A">
        <w:rPr>
          <w:rFonts w:ascii="Arial" w:hAnsi="Arial" w:cs="Arial"/>
          <w:b/>
          <w:bCs/>
          <w:color w:val="252525"/>
        </w:rPr>
        <w:t xml:space="preserve"> will be input by </w:t>
      </w:r>
      <w:r w:rsidR="005C25A1" w:rsidRPr="005F289A">
        <w:rPr>
          <w:rFonts w:ascii="Arial" w:hAnsi="Arial" w:cs="Arial"/>
          <w:b/>
          <w:bCs/>
          <w:color w:val="252525"/>
        </w:rPr>
        <w:t xml:space="preserve">employer or </w:t>
      </w:r>
      <w:r w:rsidRPr="005F289A">
        <w:rPr>
          <w:rFonts w:ascii="Arial" w:hAnsi="Arial" w:cs="Arial"/>
          <w:b/>
          <w:bCs/>
          <w:color w:val="252525"/>
        </w:rPr>
        <w:t>employer auditor each year.</w:t>
      </w:r>
      <w:r w:rsidR="000D57CA">
        <w:rPr>
          <w:rFonts w:ascii="Arial" w:hAnsi="Arial" w:cs="Arial"/>
          <w:b/>
          <w:bCs/>
          <w:color w:val="252525"/>
        </w:rPr>
        <w:t xml:space="preserve"> The text in </w:t>
      </w:r>
      <w:r w:rsidR="000D57CA">
        <w:rPr>
          <w:rFonts w:ascii="Arial" w:hAnsi="Arial" w:cs="Arial"/>
          <w:b/>
          <w:bCs/>
          <w:color w:val="FF0000"/>
        </w:rPr>
        <w:t>red</w:t>
      </w:r>
      <w:r w:rsidR="000D57CA">
        <w:rPr>
          <w:rFonts w:ascii="Arial" w:hAnsi="Arial" w:cs="Arial"/>
          <w:b/>
          <w:bCs/>
        </w:rPr>
        <w:t xml:space="preserve"> gives direction to where the information can be found.</w:t>
      </w:r>
    </w:p>
    <w:p w14:paraId="1295D86B" w14:textId="77777777" w:rsidR="00BA14FF" w:rsidRPr="00B220BC" w:rsidRDefault="00BA14FF" w:rsidP="00B220BC">
      <w:pPr>
        <w:pStyle w:val="NoSpacing"/>
        <w:jc w:val="center"/>
      </w:pPr>
    </w:p>
    <w:p w14:paraId="199C2956" w14:textId="77777777" w:rsidR="002A7845" w:rsidRPr="005F289A" w:rsidRDefault="000D57CA" w:rsidP="00B220BC">
      <w:pPr>
        <w:pStyle w:val="NoSpacing"/>
        <w:jc w:val="center"/>
        <w:rPr>
          <w:rFonts w:ascii="Arial" w:hAnsi="Arial" w:cs="Arial"/>
          <w:b/>
        </w:rPr>
      </w:pPr>
      <w:r>
        <w:rPr>
          <w:rFonts w:ascii="Arial" w:hAnsi="Arial" w:cs="Arial"/>
          <w:b/>
          <w:highlight w:val="yellow"/>
        </w:rPr>
        <w:t xml:space="preserve"> Employer Name</w:t>
      </w:r>
    </w:p>
    <w:p w14:paraId="16EA7F05" w14:textId="77777777" w:rsidR="002A7845" w:rsidRPr="005F289A" w:rsidRDefault="00F61E87" w:rsidP="00B220BC">
      <w:pPr>
        <w:pStyle w:val="NoSpacing"/>
        <w:jc w:val="center"/>
        <w:rPr>
          <w:rFonts w:ascii="Arial" w:hAnsi="Arial" w:cs="Arial"/>
          <w:b/>
        </w:rPr>
      </w:pPr>
      <w:r w:rsidRPr="005F289A">
        <w:rPr>
          <w:rFonts w:ascii="Arial" w:hAnsi="Arial" w:cs="Arial"/>
          <w:b/>
        </w:rPr>
        <w:t>Notes to the Financial Statements</w:t>
      </w:r>
    </w:p>
    <w:p w14:paraId="3D178DD3" w14:textId="00890647" w:rsidR="002A7845" w:rsidRPr="005F289A" w:rsidRDefault="00F61E87" w:rsidP="00B220BC">
      <w:pPr>
        <w:pStyle w:val="NoSpacing"/>
        <w:jc w:val="center"/>
        <w:rPr>
          <w:rFonts w:ascii="Arial" w:hAnsi="Arial" w:cs="Arial"/>
          <w:b/>
        </w:rPr>
      </w:pPr>
      <w:r w:rsidRPr="005F289A">
        <w:rPr>
          <w:rFonts w:ascii="Arial" w:hAnsi="Arial" w:cs="Arial"/>
          <w:b/>
        </w:rPr>
        <w:t>for the Year Ended June 30, 20</w:t>
      </w:r>
      <w:r w:rsidR="00B54C20">
        <w:rPr>
          <w:rFonts w:ascii="Arial" w:hAnsi="Arial" w:cs="Arial"/>
          <w:b/>
        </w:rPr>
        <w:t>2</w:t>
      </w:r>
      <w:r w:rsidR="00E8184C">
        <w:rPr>
          <w:rFonts w:ascii="Arial" w:hAnsi="Arial" w:cs="Arial"/>
          <w:b/>
        </w:rPr>
        <w:t>2</w:t>
      </w:r>
    </w:p>
    <w:p w14:paraId="4BA8BB88" w14:textId="77777777" w:rsidR="002A7845" w:rsidRDefault="002A7845">
      <w:pPr>
        <w:widowControl w:val="0"/>
        <w:suppressAutoHyphens/>
        <w:autoSpaceDE w:val="0"/>
        <w:autoSpaceDN w:val="0"/>
        <w:adjustRightInd w:val="0"/>
        <w:spacing w:before="20" w:after="0" w:line="396" w:lineRule="auto"/>
        <w:rPr>
          <w:rFonts w:ascii="Arial" w:hAnsi="Arial" w:cs="Arial"/>
          <w:color w:val="252525"/>
          <w:sz w:val="20"/>
          <w:szCs w:val="20"/>
        </w:rPr>
      </w:pPr>
    </w:p>
    <w:p w14:paraId="232F2F1E"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b/>
          <w:bCs/>
          <w:color w:val="000000"/>
        </w:rPr>
      </w:pPr>
      <w:r w:rsidRPr="00FC7863">
        <w:rPr>
          <w:rFonts w:ascii="Arial" w:hAnsi="Arial" w:cs="Arial"/>
          <w:b/>
          <w:bCs/>
          <w:color w:val="000000"/>
        </w:rPr>
        <w:t>Summary of Significant Accounting Policies</w:t>
      </w:r>
    </w:p>
    <w:p w14:paraId="642F5C27" w14:textId="77777777" w:rsidR="00FC7863" w:rsidRPr="00FC7863" w:rsidRDefault="00FC7863" w:rsidP="00FC7863">
      <w:pPr>
        <w:widowControl w:val="0"/>
        <w:suppressAutoHyphens/>
        <w:autoSpaceDE w:val="0"/>
        <w:autoSpaceDN w:val="0"/>
        <w:adjustRightInd w:val="0"/>
        <w:spacing w:after="0" w:line="240" w:lineRule="auto"/>
        <w:rPr>
          <w:rFonts w:ascii="Arial" w:hAnsi="Arial" w:cs="Arial"/>
          <w:b/>
          <w:bCs/>
          <w:color w:val="000000"/>
        </w:rPr>
      </w:pPr>
    </w:p>
    <w:p w14:paraId="07EF1E3C" w14:textId="77777777" w:rsidR="002A7845" w:rsidRDefault="00305021" w:rsidP="00FC7863">
      <w:pPr>
        <w:widowControl w:val="0"/>
        <w:suppressAutoHyphens/>
        <w:autoSpaceDE w:val="0"/>
        <w:autoSpaceDN w:val="0"/>
        <w:adjustRightInd w:val="0"/>
        <w:spacing w:after="0" w:line="240" w:lineRule="auto"/>
        <w:jc w:val="both"/>
        <w:rPr>
          <w:rFonts w:ascii="Arial" w:hAnsi="Arial" w:cs="Arial"/>
          <w:color w:val="252525"/>
        </w:rPr>
      </w:pPr>
      <w:r>
        <w:rPr>
          <w:rFonts w:ascii="Arial" w:hAnsi="Arial" w:cs="Arial"/>
          <w:i/>
          <w:iCs/>
          <w:color w:val="252525"/>
        </w:rPr>
        <w:t>Other Post Employment Benefits (OPEB)</w:t>
      </w:r>
      <w:r w:rsidR="00F61E87" w:rsidRPr="00FC7863">
        <w:rPr>
          <w:rFonts w:ascii="Arial" w:hAnsi="Arial" w:cs="Arial"/>
          <w:color w:val="252525"/>
        </w:rPr>
        <w:t xml:space="preserve">. For purposes of measuring the net </w:t>
      </w:r>
      <w:r>
        <w:rPr>
          <w:rFonts w:ascii="Arial" w:hAnsi="Arial" w:cs="Arial"/>
          <w:color w:val="252525"/>
        </w:rPr>
        <w:t>OPEB</w:t>
      </w:r>
      <w:r w:rsidR="00F61E87" w:rsidRPr="00FC7863">
        <w:rPr>
          <w:rFonts w:ascii="Arial" w:hAnsi="Arial" w:cs="Arial"/>
          <w:color w:val="252525"/>
        </w:rPr>
        <w:t xml:space="preserve"> liability, deferred outflows of resources and deferred inflows of resources related to </w:t>
      </w:r>
      <w:r>
        <w:rPr>
          <w:rFonts w:ascii="Arial" w:hAnsi="Arial" w:cs="Arial"/>
          <w:color w:val="252525"/>
        </w:rPr>
        <w:t>OPEB</w:t>
      </w:r>
      <w:r w:rsidR="00F61E87" w:rsidRPr="00FC7863">
        <w:rPr>
          <w:rFonts w:ascii="Arial" w:hAnsi="Arial" w:cs="Arial"/>
          <w:color w:val="252525"/>
        </w:rPr>
        <w:t xml:space="preserve">, and </w:t>
      </w:r>
      <w:r>
        <w:rPr>
          <w:rFonts w:ascii="Arial" w:hAnsi="Arial" w:cs="Arial"/>
          <w:color w:val="252525"/>
        </w:rPr>
        <w:t>OPEB</w:t>
      </w:r>
      <w:r w:rsidR="00F61E87" w:rsidRPr="00FC7863">
        <w:rPr>
          <w:rFonts w:ascii="Arial" w:hAnsi="Arial" w:cs="Arial"/>
          <w:color w:val="252525"/>
        </w:rPr>
        <w:t xml:space="preserve"> expense, information about the fiducia</w:t>
      </w:r>
      <w:r w:rsidR="00A27937" w:rsidRPr="00FC7863">
        <w:rPr>
          <w:rFonts w:ascii="Arial" w:hAnsi="Arial" w:cs="Arial"/>
          <w:color w:val="252525"/>
        </w:rPr>
        <w:t>ry net pos</w:t>
      </w:r>
      <w:r w:rsidR="00526CA9">
        <w:rPr>
          <w:rFonts w:ascii="Arial" w:hAnsi="Arial" w:cs="Arial"/>
          <w:color w:val="252525"/>
        </w:rPr>
        <w:t xml:space="preserve">ition of the North Dakota Public Employees </w:t>
      </w:r>
      <w:r w:rsidR="00A27937" w:rsidRPr="00FC7863">
        <w:rPr>
          <w:rFonts w:ascii="Arial" w:hAnsi="Arial" w:cs="Arial"/>
          <w:color w:val="252525"/>
        </w:rPr>
        <w:t>Retirement</w:t>
      </w:r>
      <w:r w:rsidR="00526CA9">
        <w:rPr>
          <w:rFonts w:ascii="Arial" w:hAnsi="Arial" w:cs="Arial"/>
          <w:color w:val="252525"/>
        </w:rPr>
        <w:t xml:space="preserve"> System (NDPERS</w:t>
      </w:r>
      <w:r w:rsidR="00A27937" w:rsidRPr="00FC7863">
        <w:rPr>
          <w:rFonts w:ascii="Arial" w:hAnsi="Arial" w:cs="Arial"/>
          <w:color w:val="252525"/>
        </w:rPr>
        <w:t xml:space="preserve">) </w:t>
      </w:r>
      <w:r w:rsidR="00F61E87" w:rsidRPr="00FC7863">
        <w:rPr>
          <w:rFonts w:ascii="Arial" w:hAnsi="Arial" w:cs="Arial"/>
          <w:color w:val="252525"/>
        </w:rPr>
        <w:t xml:space="preserve">and additions to/deductions from </w:t>
      </w:r>
      <w:r w:rsidR="00526CA9">
        <w:rPr>
          <w:rFonts w:ascii="Arial" w:hAnsi="Arial" w:cs="Arial"/>
          <w:color w:val="252525"/>
        </w:rPr>
        <w:t>NDPERS’</w:t>
      </w:r>
      <w:r w:rsidR="00F61E87" w:rsidRPr="00FC7863">
        <w:rPr>
          <w:rFonts w:ascii="Arial" w:hAnsi="Arial" w:cs="Arial"/>
          <w:color w:val="252525"/>
        </w:rPr>
        <w:t xml:space="preserve"> fiduciary net position have been determined on the same</w:t>
      </w:r>
      <w:r w:rsidR="00526CA9">
        <w:rPr>
          <w:rFonts w:ascii="Arial" w:hAnsi="Arial" w:cs="Arial"/>
          <w:color w:val="252525"/>
        </w:rPr>
        <w:t xml:space="preserve"> basis as they are reported by NDPERS</w:t>
      </w:r>
      <w:r w:rsidR="00F61E87" w:rsidRPr="00FC7863">
        <w:rPr>
          <w:rFonts w:ascii="Arial" w:hAnsi="Arial" w:cs="Arial"/>
          <w:color w:val="252525"/>
        </w:rPr>
        <w:t>. For this purpose, benefit payments are recognized when due and payable in accordance with the benefit terms. Investments are reported at fair value.</w:t>
      </w:r>
    </w:p>
    <w:p w14:paraId="7B67A402" w14:textId="77777777" w:rsidR="00FC7863" w:rsidRPr="00FC7863" w:rsidRDefault="00FC7863" w:rsidP="00FC7863">
      <w:pPr>
        <w:widowControl w:val="0"/>
        <w:suppressAutoHyphens/>
        <w:autoSpaceDE w:val="0"/>
        <w:autoSpaceDN w:val="0"/>
        <w:adjustRightInd w:val="0"/>
        <w:spacing w:after="0" w:line="240" w:lineRule="auto"/>
        <w:jc w:val="both"/>
        <w:rPr>
          <w:rFonts w:ascii="Arial" w:hAnsi="Arial" w:cs="Arial"/>
          <w:color w:val="252525"/>
        </w:rPr>
      </w:pPr>
    </w:p>
    <w:p w14:paraId="520BD41E" w14:textId="77777777" w:rsidR="002A7845" w:rsidRPr="00BA5BF4" w:rsidRDefault="00596A60" w:rsidP="00FC7863">
      <w:pPr>
        <w:widowControl w:val="0"/>
        <w:suppressAutoHyphens/>
        <w:autoSpaceDE w:val="0"/>
        <w:autoSpaceDN w:val="0"/>
        <w:adjustRightInd w:val="0"/>
        <w:spacing w:after="0" w:line="240" w:lineRule="auto"/>
        <w:rPr>
          <w:rFonts w:ascii="Arial" w:hAnsi="Arial" w:cs="Arial"/>
          <w:b/>
          <w:bCs/>
          <w:i/>
          <w:color w:val="252525"/>
          <w:sz w:val="24"/>
          <w:szCs w:val="24"/>
        </w:rPr>
      </w:pPr>
      <w:r w:rsidRPr="00F55B1E">
        <w:rPr>
          <w:rFonts w:ascii="Arial" w:hAnsi="Arial" w:cs="Arial"/>
          <w:b/>
          <w:bCs/>
          <w:color w:val="252525"/>
          <w:sz w:val="24"/>
          <w:szCs w:val="24"/>
        </w:rPr>
        <w:t xml:space="preserve">General Information about the </w:t>
      </w:r>
      <w:r w:rsidR="00305021">
        <w:rPr>
          <w:rFonts w:ascii="Arial" w:hAnsi="Arial" w:cs="Arial"/>
          <w:b/>
          <w:bCs/>
          <w:color w:val="252525"/>
          <w:sz w:val="24"/>
          <w:szCs w:val="24"/>
        </w:rPr>
        <w:t>OPEB</w:t>
      </w:r>
      <w:r w:rsidRPr="00F55B1E">
        <w:rPr>
          <w:rFonts w:ascii="Arial" w:hAnsi="Arial" w:cs="Arial"/>
          <w:b/>
          <w:bCs/>
          <w:color w:val="252525"/>
          <w:sz w:val="24"/>
          <w:szCs w:val="24"/>
        </w:rPr>
        <w:t xml:space="preserve"> Plan</w:t>
      </w:r>
      <w:r w:rsidR="00F61E87" w:rsidRPr="00BA5BF4">
        <w:rPr>
          <w:rFonts w:ascii="Arial" w:hAnsi="Arial" w:cs="Arial"/>
          <w:b/>
          <w:bCs/>
          <w:i/>
          <w:color w:val="252525"/>
          <w:sz w:val="24"/>
          <w:szCs w:val="24"/>
        </w:rPr>
        <w:t xml:space="preserve"> </w:t>
      </w:r>
    </w:p>
    <w:p w14:paraId="2AD55240" w14:textId="77777777"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14:paraId="54C12270" w14:textId="77777777" w:rsidR="00596A60" w:rsidRDefault="00731026" w:rsidP="00FC7863">
      <w:pPr>
        <w:pStyle w:val="B2NotesNumbering"/>
        <w:numPr>
          <w:ilvl w:val="0"/>
          <w:numId w:val="0"/>
        </w:numPr>
        <w:ind w:left="360" w:hanging="360"/>
        <w:rPr>
          <w:rFonts w:ascii="Arial" w:hAnsi="Arial" w:cs="Arial"/>
          <w:b w:val="0"/>
          <w:i/>
          <w:sz w:val="22"/>
          <w:szCs w:val="22"/>
        </w:rPr>
      </w:pPr>
      <w:r>
        <w:rPr>
          <w:rFonts w:ascii="Arial" w:hAnsi="Arial" w:cs="Arial"/>
          <w:i/>
          <w:sz w:val="22"/>
          <w:szCs w:val="22"/>
        </w:rPr>
        <w:t>North Dakota Public Employees</w:t>
      </w:r>
      <w:r w:rsidR="00A27937" w:rsidRPr="00FC7863">
        <w:rPr>
          <w:rFonts w:ascii="Arial" w:hAnsi="Arial" w:cs="Arial"/>
          <w:i/>
          <w:sz w:val="22"/>
          <w:szCs w:val="22"/>
        </w:rPr>
        <w:t xml:space="preserve"> Retirement</w:t>
      </w:r>
      <w:r w:rsidR="00305021">
        <w:rPr>
          <w:rFonts w:ascii="Arial" w:hAnsi="Arial" w:cs="Arial"/>
          <w:i/>
          <w:sz w:val="22"/>
          <w:szCs w:val="22"/>
        </w:rPr>
        <w:t xml:space="preserve"> System</w:t>
      </w:r>
    </w:p>
    <w:p w14:paraId="1052FD94" w14:textId="77777777" w:rsidR="00A27937" w:rsidRPr="00FC7863" w:rsidRDefault="00A27937" w:rsidP="00FC7863">
      <w:pPr>
        <w:pStyle w:val="B1Text"/>
        <w:rPr>
          <w:rFonts w:ascii="Arial" w:hAnsi="Arial" w:cs="Arial"/>
          <w:i/>
          <w:sz w:val="22"/>
          <w:szCs w:val="22"/>
        </w:rPr>
      </w:pPr>
    </w:p>
    <w:p w14:paraId="5AD6D6E7" w14:textId="77777777" w:rsidR="00A4308A" w:rsidRPr="00FC7863" w:rsidRDefault="00A4308A" w:rsidP="00FC7863">
      <w:pPr>
        <w:pStyle w:val="B3NotesSubHeading"/>
        <w:jc w:val="both"/>
        <w:rPr>
          <w:rFonts w:ascii="Arial" w:hAnsi="Arial" w:cs="Arial"/>
          <w:b w:val="0"/>
          <w:szCs w:val="22"/>
        </w:rPr>
      </w:pPr>
      <w:r w:rsidRPr="00FC7863">
        <w:rPr>
          <w:rFonts w:ascii="Arial" w:hAnsi="Arial" w:cs="Arial"/>
          <w:b w:val="0"/>
          <w:szCs w:val="22"/>
        </w:rPr>
        <w:t>The following brief description of</w:t>
      </w:r>
      <w:r w:rsidR="00731026">
        <w:rPr>
          <w:rFonts w:ascii="Arial" w:hAnsi="Arial" w:cs="Arial"/>
          <w:b w:val="0"/>
          <w:szCs w:val="22"/>
        </w:rPr>
        <w:t xml:space="preserve"> NDPERS</w:t>
      </w:r>
      <w:r w:rsidRPr="00FC7863">
        <w:rPr>
          <w:rFonts w:ascii="Arial" w:hAnsi="Arial" w:cs="Arial"/>
          <w:b w:val="0"/>
          <w:szCs w:val="22"/>
        </w:rPr>
        <w:t xml:space="preserve"> is provided for general information purposes only. Participants shou</w:t>
      </w:r>
      <w:r w:rsidR="00731026">
        <w:rPr>
          <w:rFonts w:ascii="Arial" w:hAnsi="Arial" w:cs="Arial"/>
          <w:b w:val="0"/>
          <w:szCs w:val="22"/>
        </w:rPr>
        <w:t>ld refer to ND</w:t>
      </w:r>
      <w:r w:rsidR="005D4D1C">
        <w:rPr>
          <w:rFonts w:ascii="Arial" w:hAnsi="Arial" w:cs="Arial"/>
          <w:b w:val="0"/>
          <w:szCs w:val="22"/>
        </w:rPr>
        <w:t>A</w:t>
      </w:r>
      <w:r w:rsidR="00731026">
        <w:rPr>
          <w:rFonts w:ascii="Arial" w:hAnsi="Arial" w:cs="Arial"/>
          <w:b w:val="0"/>
          <w:szCs w:val="22"/>
        </w:rPr>
        <w:t xml:space="preserve">C Chapter </w:t>
      </w:r>
      <w:r w:rsidR="005D4D1C">
        <w:rPr>
          <w:rFonts w:ascii="Arial" w:hAnsi="Arial" w:cs="Arial"/>
          <w:b w:val="0"/>
          <w:szCs w:val="22"/>
        </w:rPr>
        <w:t>71-06</w:t>
      </w:r>
      <w:r w:rsidRPr="00FC7863">
        <w:rPr>
          <w:rFonts w:ascii="Arial" w:hAnsi="Arial" w:cs="Arial"/>
          <w:b w:val="0"/>
          <w:szCs w:val="22"/>
        </w:rPr>
        <w:t xml:space="preserve"> for more complete information.</w:t>
      </w:r>
    </w:p>
    <w:p w14:paraId="7EFF4856" w14:textId="77777777" w:rsidR="00A4308A" w:rsidRPr="00FC7863" w:rsidRDefault="00A4308A" w:rsidP="00FC7863">
      <w:pPr>
        <w:pStyle w:val="B3NotesSubHeading"/>
        <w:jc w:val="both"/>
        <w:rPr>
          <w:rFonts w:ascii="Arial" w:hAnsi="Arial" w:cs="Arial"/>
          <w:b w:val="0"/>
          <w:szCs w:val="22"/>
        </w:rPr>
      </w:pPr>
    </w:p>
    <w:p w14:paraId="22870514" w14:textId="77777777" w:rsidR="005D4D1C" w:rsidRDefault="00931B3B" w:rsidP="005D4D1C">
      <w:pPr>
        <w:autoSpaceDE w:val="0"/>
        <w:autoSpaceDN w:val="0"/>
        <w:adjustRightInd w:val="0"/>
        <w:spacing w:after="0" w:line="240" w:lineRule="auto"/>
        <w:rPr>
          <w:rFonts w:ascii="ArialMT" w:hAnsi="ArialMT" w:cs="ArialMT"/>
        </w:rPr>
      </w:pPr>
      <w:r>
        <w:rPr>
          <w:rFonts w:ascii="Arial" w:hAnsi="Arial" w:cs="Arial"/>
        </w:rPr>
        <w:t>NDPERS</w:t>
      </w:r>
      <w:r w:rsidR="00A4308A" w:rsidRPr="00FC7863">
        <w:rPr>
          <w:rFonts w:ascii="Arial" w:hAnsi="Arial" w:cs="Arial"/>
        </w:rPr>
        <w:t xml:space="preserve"> </w:t>
      </w:r>
      <w:r w:rsidR="005D4D1C" w:rsidRPr="005D4D1C">
        <w:rPr>
          <w:rFonts w:ascii="Arial" w:hAnsi="Arial" w:cs="Arial"/>
        </w:rPr>
        <w:t xml:space="preserve">OPEB plan </w:t>
      </w:r>
      <w:r w:rsidR="00A4308A" w:rsidRPr="005D4D1C">
        <w:rPr>
          <w:rFonts w:ascii="Arial" w:hAnsi="Arial" w:cs="Arial"/>
        </w:rPr>
        <w:t>is</w:t>
      </w:r>
      <w:r w:rsidR="00A4308A" w:rsidRPr="00FC7863">
        <w:rPr>
          <w:rFonts w:ascii="Arial" w:hAnsi="Arial" w:cs="Arial"/>
        </w:rPr>
        <w:t xml:space="preserve"> a cost-sharing multiple-employer defined benefit </w:t>
      </w:r>
      <w:r w:rsidR="00951F49">
        <w:rPr>
          <w:rFonts w:ascii="Arial" w:hAnsi="Arial" w:cs="Arial"/>
        </w:rPr>
        <w:t>OPEB</w:t>
      </w:r>
      <w:r w:rsidR="00A4308A" w:rsidRPr="00FC7863">
        <w:rPr>
          <w:rFonts w:ascii="Arial" w:hAnsi="Arial" w:cs="Arial"/>
        </w:rPr>
        <w:t xml:space="preserve"> plan </w:t>
      </w:r>
      <w:r>
        <w:rPr>
          <w:rFonts w:ascii="Arial" w:hAnsi="Arial" w:cs="Arial"/>
        </w:rPr>
        <w:t xml:space="preserve">that covers </w:t>
      </w:r>
      <w:r w:rsidR="005D4D1C">
        <w:rPr>
          <w:rFonts w:ascii="ArialMT" w:hAnsi="ArialMT" w:cs="ArialMT"/>
        </w:rPr>
        <w:t>members receiving retirement benefits from the PERS, the HPRS, and Judges</w:t>
      </w:r>
    </w:p>
    <w:p w14:paraId="30DA913B" w14:textId="77777777" w:rsidR="00A4308A" w:rsidRDefault="005D4D1C" w:rsidP="005D4D1C">
      <w:pPr>
        <w:autoSpaceDE w:val="0"/>
        <w:autoSpaceDN w:val="0"/>
        <w:adjustRightInd w:val="0"/>
        <w:spacing w:after="0" w:line="240" w:lineRule="auto"/>
        <w:rPr>
          <w:rFonts w:ascii="ArialMT" w:hAnsi="ArialMT" w:cs="ArialMT"/>
        </w:rPr>
      </w:pPr>
      <w:r>
        <w:rPr>
          <w:rFonts w:ascii="ArialMT" w:hAnsi="ArialMT" w:cs="ArialMT"/>
        </w:rPr>
        <w:t xml:space="preserve">retired under Chapter 27-17 of the North Dakota Century Code a credit toward their monthly health insurance premium under the state health plan based upon the member's years of credited service. Effective July 1, 2015, the credit is also available to apply towards monthly premiums under the state dental, vision and long-term care plan and any other health insurance plan. </w:t>
      </w:r>
      <w:r w:rsidR="00EE45ED">
        <w:rPr>
          <w:rFonts w:ascii="ArialMT" w:hAnsi="ArialMT" w:cs="ArialMT"/>
        </w:rPr>
        <w:t xml:space="preserve">. Effective August 1, 2019 the benefit may be used for any eligible health, prescription drug plan, dental, vision, or long term care plan premium expense.  </w:t>
      </w:r>
      <w:r>
        <w:rPr>
          <w:rFonts w:ascii="ArialMT" w:hAnsi="ArialMT" w:cs="ArialMT"/>
        </w:rPr>
        <w:t>The Retiree Health Insurance Credit Fund is advance-funded on an actuarially determined basis.</w:t>
      </w:r>
    </w:p>
    <w:p w14:paraId="4C024A6B" w14:textId="77777777" w:rsidR="005D4D1C" w:rsidRPr="00FC7863" w:rsidRDefault="005D4D1C" w:rsidP="005D4D1C">
      <w:pPr>
        <w:pStyle w:val="B3NotesSubHeading"/>
        <w:jc w:val="both"/>
        <w:rPr>
          <w:rFonts w:ascii="Arial" w:hAnsi="Arial" w:cs="Arial"/>
          <w:b w:val="0"/>
          <w:szCs w:val="22"/>
        </w:rPr>
      </w:pPr>
    </w:p>
    <w:p w14:paraId="0EEDB760" w14:textId="77777777" w:rsidR="00EE45ED" w:rsidRDefault="00A4308A" w:rsidP="00EE45ED">
      <w:pPr>
        <w:pStyle w:val="B3NotesSubHeading"/>
        <w:jc w:val="both"/>
        <w:rPr>
          <w:rFonts w:ascii="Arial" w:hAnsi="Arial" w:cs="Arial"/>
          <w:i/>
          <w:szCs w:val="22"/>
        </w:rPr>
      </w:pPr>
      <w:r w:rsidRPr="00FC7863">
        <w:rPr>
          <w:rFonts w:ascii="Arial" w:hAnsi="Arial" w:cs="Arial"/>
          <w:b w:val="0"/>
          <w:szCs w:val="22"/>
        </w:rPr>
        <w:t>Responsibili</w:t>
      </w:r>
      <w:r w:rsidR="00C20EF0">
        <w:rPr>
          <w:rFonts w:ascii="Arial" w:hAnsi="Arial" w:cs="Arial"/>
          <w:b w:val="0"/>
          <w:szCs w:val="22"/>
        </w:rPr>
        <w:t xml:space="preserve">ty for administration of the NDPERS defined benefit </w:t>
      </w:r>
      <w:r w:rsidR="00951F49">
        <w:rPr>
          <w:rFonts w:ascii="Arial" w:hAnsi="Arial" w:cs="Arial"/>
          <w:b w:val="0"/>
          <w:szCs w:val="22"/>
        </w:rPr>
        <w:t>OPEB</w:t>
      </w:r>
      <w:r w:rsidR="00C20EF0">
        <w:rPr>
          <w:rFonts w:ascii="Arial" w:hAnsi="Arial" w:cs="Arial"/>
          <w:b w:val="0"/>
          <w:szCs w:val="22"/>
        </w:rPr>
        <w:t xml:space="preserve"> plan</w:t>
      </w:r>
      <w:r w:rsidRPr="00FC7863">
        <w:rPr>
          <w:rFonts w:ascii="Arial" w:hAnsi="Arial" w:cs="Arial"/>
          <w:b w:val="0"/>
          <w:szCs w:val="22"/>
        </w:rPr>
        <w:t xml:space="preserve"> </w:t>
      </w:r>
      <w:r w:rsidR="00C20EF0">
        <w:rPr>
          <w:rFonts w:ascii="Arial" w:hAnsi="Arial" w:cs="Arial"/>
          <w:b w:val="0"/>
          <w:szCs w:val="22"/>
        </w:rPr>
        <w:t>is</w:t>
      </w:r>
      <w:r w:rsidRPr="00FC7863">
        <w:rPr>
          <w:rFonts w:ascii="Arial" w:hAnsi="Arial" w:cs="Arial"/>
          <w:b w:val="0"/>
          <w:szCs w:val="22"/>
        </w:rPr>
        <w:t xml:space="preserve"> as</w:t>
      </w:r>
      <w:r w:rsidR="00C20EF0">
        <w:rPr>
          <w:rFonts w:ascii="Arial" w:hAnsi="Arial" w:cs="Arial"/>
          <w:b w:val="0"/>
          <w:szCs w:val="22"/>
        </w:rPr>
        <w:t xml:space="preserve">signed to a </w:t>
      </w:r>
      <w:r w:rsidRPr="00FC7863">
        <w:rPr>
          <w:rFonts w:ascii="Arial" w:hAnsi="Arial" w:cs="Arial"/>
          <w:b w:val="0"/>
          <w:szCs w:val="22"/>
        </w:rPr>
        <w:t xml:space="preserve">Board </w:t>
      </w:r>
      <w:r w:rsidR="00C20EF0">
        <w:rPr>
          <w:rFonts w:ascii="Arial" w:hAnsi="Arial" w:cs="Arial"/>
          <w:b w:val="0"/>
          <w:szCs w:val="22"/>
        </w:rPr>
        <w:t xml:space="preserve">comprised of </w:t>
      </w:r>
      <w:r w:rsidR="006548CF">
        <w:rPr>
          <w:rFonts w:ascii="Arial" w:hAnsi="Arial" w:cs="Arial"/>
          <w:b w:val="0"/>
          <w:szCs w:val="22"/>
        </w:rPr>
        <w:t>nine</w:t>
      </w:r>
      <w:r w:rsidR="00C20EF0">
        <w:rPr>
          <w:rFonts w:ascii="Arial" w:hAnsi="Arial" w:cs="Arial"/>
          <w:b w:val="0"/>
          <w:szCs w:val="22"/>
        </w:rPr>
        <w:t xml:space="preserve"> members.  The Board consists of a Chairman, who is appointed by the Governor; one member appointed by the Attorney General; one member appointed by the State Health Officer; three members elected by the active </w:t>
      </w:r>
      <w:r w:rsidR="006548CF">
        <w:rPr>
          <w:rFonts w:ascii="Arial" w:hAnsi="Arial" w:cs="Arial"/>
          <w:b w:val="0"/>
          <w:szCs w:val="22"/>
        </w:rPr>
        <w:t>membership of the NDPERS system,</w:t>
      </w:r>
      <w:r w:rsidR="00F55B1E">
        <w:rPr>
          <w:rFonts w:ascii="Arial" w:hAnsi="Arial" w:cs="Arial"/>
          <w:b w:val="0"/>
          <w:szCs w:val="22"/>
        </w:rPr>
        <w:t xml:space="preserve"> </w:t>
      </w:r>
      <w:r w:rsidR="006548CF">
        <w:rPr>
          <w:rFonts w:ascii="Arial" w:hAnsi="Arial" w:cs="Arial"/>
          <w:b w:val="0"/>
          <w:szCs w:val="22"/>
        </w:rPr>
        <w:t>o</w:t>
      </w:r>
      <w:r w:rsidR="00C20EF0">
        <w:rPr>
          <w:rFonts w:ascii="Arial" w:hAnsi="Arial" w:cs="Arial"/>
          <w:b w:val="0"/>
          <w:szCs w:val="22"/>
        </w:rPr>
        <w:t xml:space="preserve">ne member elected </w:t>
      </w:r>
      <w:r w:rsidR="006548CF">
        <w:rPr>
          <w:rFonts w:ascii="Arial" w:hAnsi="Arial" w:cs="Arial"/>
          <w:b w:val="0"/>
          <w:szCs w:val="22"/>
        </w:rPr>
        <w:t xml:space="preserve">by the retired public employees and </w:t>
      </w:r>
      <w:r w:rsidR="00AB73D3">
        <w:rPr>
          <w:rFonts w:ascii="Arial" w:hAnsi="Arial" w:cs="Arial"/>
          <w:b w:val="0"/>
          <w:szCs w:val="22"/>
        </w:rPr>
        <w:t>two members of the legislative assembly appointed by the chairman of the legislative management.</w:t>
      </w:r>
      <w:r w:rsidR="00C20EF0">
        <w:rPr>
          <w:rFonts w:ascii="Arial" w:hAnsi="Arial" w:cs="Arial"/>
          <w:i/>
          <w:szCs w:val="22"/>
        </w:rPr>
        <w:t xml:space="preserve"> </w:t>
      </w:r>
    </w:p>
    <w:p w14:paraId="50A0A2CF" w14:textId="77777777" w:rsidR="009B0062" w:rsidRDefault="005D4D1C" w:rsidP="00EE45ED">
      <w:pPr>
        <w:pStyle w:val="B3NotesSubHeading"/>
        <w:jc w:val="both"/>
        <w:rPr>
          <w:rFonts w:ascii="Arial" w:hAnsi="Arial" w:cs="Arial"/>
          <w:szCs w:val="22"/>
        </w:rPr>
      </w:pPr>
      <w:r w:rsidRPr="005D4D1C">
        <w:rPr>
          <w:rFonts w:ascii="Arial" w:hAnsi="Arial" w:cs="Arial"/>
          <w:szCs w:val="22"/>
        </w:rPr>
        <w:lastRenderedPageBreak/>
        <w:t>OPEB Benefits</w:t>
      </w:r>
    </w:p>
    <w:p w14:paraId="3D92BD3C" w14:textId="77777777" w:rsidR="005D4D1C" w:rsidRDefault="005D4D1C" w:rsidP="005D4D1C">
      <w:pPr>
        <w:autoSpaceDE w:val="0"/>
        <w:autoSpaceDN w:val="0"/>
        <w:adjustRightInd w:val="0"/>
        <w:spacing w:after="0" w:line="240" w:lineRule="auto"/>
        <w:rPr>
          <w:rFonts w:ascii="ArialMT" w:hAnsi="ArialMT" w:cs="ArialMT"/>
        </w:rPr>
      </w:pPr>
      <w:r>
        <w:rPr>
          <w:rFonts w:ascii="ArialMT" w:hAnsi="ArialMT" w:cs="ArialMT"/>
        </w:rPr>
        <w:t xml:space="preserve">The employer contribution for the PERS, the HPRS and the Defined Contribution Plan is set by statute at 1.14% of covered compensation. The employer contribution for employees of the state board of career and technical education is 2.99% of covered compensation for a period of eight years ending October 1, 2015. Employees participating in the retirement plan as part-time/temporary members are required to contribute 1.14% of their covered compensation to the Retiree Health Insurance Credit Fund. Employees purchasing previous service credit are also required to make an employee contribution to the Fund. The benefit amount applied each year is shown as </w:t>
      </w:r>
      <w:r>
        <w:rPr>
          <w:rFonts w:ascii="Arial" w:hAnsi="Arial" w:cs="Arial"/>
          <w:i/>
          <w:iCs/>
        </w:rPr>
        <w:t>"prefunded credit applied"</w:t>
      </w:r>
      <w:r>
        <w:rPr>
          <w:rFonts w:ascii="ArialMT" w:hAnsi="ArialMT" w:cs="ArialMT"/>
        </w:rPr>
        <w:t xml:space="preserve"> on the Statement of Changes in Plan Net Position for the </w:t>
      </w:r>
      <w:r w:rsidR="00951F49">
        <w:rPr>
          <w:rFonts w:ascii="ArialMT" w:hAnsi="ArialMT" w:cs="ArialMT"/>
        </w:rPr>
        <w:t>OPEB</w:t>
      </w:r>
      <w:r>
        <w:rPr>
          <w:rFonts w:ascii="ArialMT" w:hAnsi="ArialMT" w:cs="ArialMT"/>
        </w:rPr>
        <w:t xml:space="preserve"> trust funds.</w:t>
      </w:r>
      <w:r w:rsidR="00B54C20">
        <w:rPr>
          <w:rFonts w:ascii="ArialMT" w:hAnsi="ArialMT" w:cs="ArialMT"/>
        </w:rPr>
        <w:t xml:space="preserve">  </w:t>
      </w:r>
      <w:r w:rsidR="00B54C20" w:rsidRPr="00B54C20">
        <w:rPr>
          <w:rFonts w:ascii="ArialMT" w:hAnsi="ArialMT" w:cs="ArialMT"/>
        </w:rPr>
        <w:t>Beginning January 1, 2020, members first enrolled in the NDPERS Main System and the Defined Contribution Plan on or after that date will not be eligible to participate in RHIC. Therefore, RHIC will become for the most part a closed plan. There were no other benefit changes during the year.</w:t>
      </w:r>
    </w:p>
    <w:p w14:paraId="41727F10" w14:textId="77777777" w:rsidR="005D4D1C" w:rsidRDefault="005D4D1C" w:rsidP="005D4D1C">
      <w:pPr>
        <w:autoSpaceDE w:val="0"/>
        <w:autoSpaceDN w:val="0"/>
        <w:adjustRightInd w:val="0"/>
        <w:spacing w:after="0" w:line="240" w:lineRule="auto"/>
        <w:rPr>
          <w:rFonts w:ascii="ArialMT" w:hAnsi="ArialMT" w:cs="ArialMT"/>
        </w:rPr>
      </w:pPr>
    </w:p>
    <w:p w14:paraId="6081619A" w14:textId="77777777" w:rsidR="005D4D1C" w:rsidRDefault="005D4D1C" w:rsidP="005D4D1C">
      <w:pPr>
        <w:autoSpaceDE w:val="0"/>
        <w:autoSpaceDN w:val="0"/>
        <w:adjustRightInd w:val="0"/>
        <w:spacing w:after="0" w:line="240" w:lineRule="auto"/>
        <w:rPr>
          <w:rFonts w:ascii="ArialMT" w:hAnsi="ArialMT" w:cs="ArialMT"/>
        </w:rPr>
      </w:pPr>
      <w:r>
        <w:rPr>
          <w:rFonts w:ascii="ArialMT" w:hAnsi="ArialMT" w:cs="ArialMT"/>
        </w:rPr>
        <w:t>Retiree health insurance credit benefits and death and disability benefits are set by statute. There are no provisions or policies with respect to automatic and ad hoc post-retirement benefit increases. Employees who are receiving monthly retirement benefits from the PERS, the HPRS, the Defined Contribution Plan, the Chapter 27-17 judges or an employee receiving disability benefits, or the spouse of a deceased annuitant receiving a surviving spouse benefit or if the member selected a joint and survivor option are eligible to receive a credit toward their monthly health insurance premium under the state health plan.</w:t>
      </w:r>
    </w:p>
    <w:p w14:paraId="5E8A3426" w14:textId="77777777" w:rsidR="005D4D1C" w:rsidRDefault="005D4D1C" w:rsidP="005D4D1C">
      <w:pPr>
        <w:autoSpaceDE w:val="0"/>
        <w:autoSpaceDN w:val="0"/>
        <w:adjustRightInd w:val="0"/>
        <w:spacing w:after="0" w:line="240" w:lineRule="auto"/>
        <w:rPr>
          <w:rFonts w:ascii="ArialMT" w:hAnsi="ArialMT" w:cs="ArialMT"/>
        </w:rPr>
      </w:pPr>
    </w:p>
    <w:p w14:paraId="76FF8286" w14:textId="77777777" w:rsidR="005D4D1C" w:rsidRPr="005D4D1C" w:rsidRDefault="005D4D1C" w:rsidP="00B54C20">
      <w:pPr>
        <w:autoSpaceDE w:val="0"/>
        <w:autoSpaceDN w:val="0"/>
        <w:adjustRightInd w:val="0"/>
        <w:spacing w:after="0" w:line="240" w:lineRule="auto"/>
        <w:rPr>
          <w:rFonts w:ascii="ArialMT" w:hAnsi="ArialMT" w:cs="ArialMT"/>
        </w:rPr>
      </w:pPr>
      <w:r>
        <w:rPr>
          <w:rFonts w:ascii="ArialMT" w:hAnsi="ArialMT" w:cs="ArialMT"/>
        </w:rPr>
        <w:t xml:space="preserve">Effective July 1, 2015, the credit is also available to apply towards monthly premiums under the state dental, vision and long-term care plan and any other health insurance plan. </w:t>
      </w:r>
      <w:r w:rsidR="00B54C20">
        <w:rPr>
          <w:rFonts w:ascii="ArialMT" w:hAnsi="ArialMT" w:cs="ArialMT"/>
        </w:rPr>
        <w:t>Effective August 1, 2019 the benefit may be used for any eligible health, prescription drug plan, dental, vision, or long term care plan premium expense.  T</w:t>
      </w:r>
      <w:r>
        <w:rPr>
          <w:rFonts w:ascii="ArialMT" w:hAnsi="ArialMT" w:cs="ArialMT"/>
        </w:rPr>
        <w:t>he benefits are equal to $5.00 for each of the employee’s, or deceased employee's years of credited service not to exceed the premium in effect for selected coverage. The retiree health insurance credit is also available for early retirement with reduced benefits.</w:t>
      </w:r>
    </w:p>
    <w:p w14:paraId="433F3E06" w14:textId="77777777" w:rsidR="009B0062" w:rsidRDefault="009B0062" w:rsidP="00FC7863">
      <w:pPr>
        <w:widowControl w:val="0"/>
        <w:suppressAutoHyphens/>
        <w:autoSpaceDE w:val="0"/>
        <w:autoSpaceDN w:val="0"/>
        <w:adjustRightInd w:val="0"/>
        <w:spacing w:after="0" w:line="240" w:lineRule="auto"/>
        <w:rPr>
          <w:rFonts w:ascii="Arial" w:hAnsi="Arial" w:cs="Arial"/>
          <w:b/>
          <w:bCs/>
          <w:i/>
          <w:iCs/>
          <w:color w:val="252525"/>
        </w:rPr>
      </w:pPr>
    </w:p>
    <w:p w14:paraId="6C3B4305" w14:textId="77777777" w:rsidR="002A7845" w:rsidRDefault="005D4D1C" w:rsidP="00FC7863">
      <w:pPr>
        <w:widowControl w:val="0"/>
        <w:suppressAutoHyphens/>
        <w:autoSpaceDE w:val="0"/>
        <w:autoSpaceDN w:val="0"/>
        <w:adjustRightInd w:val="0"/>
        <w:spacing w:after="0" w:line="240" w:lineRule="auto"/>
        <w:rPr>
          <w:rFonts w:ascii="Arial" w:hAnsi="Arial" w:cs="Arial"/>
          <w:b/>
          <w:bCs/>
          <w:color w:val="252525"/>
        </w:rPr>
      </w:pPr>
      <w:r>
        <w:rPr>
          <w:rFonts w:ascii="Arial" w:hAnsi="Arial" w:cs="Arial"/>
          <w:b/>
          <w:bCs/>
          <w:i/>
          <w:iCs/>
          <w:color w:val="252525"/>
        </w:rPr>
        <w:t>OPEB</w:t>
      </w:r>
      <w:r w:rsidR="00F61E87" w:rsidRPr="00FC7863">
        <w:rPr>
          <w:rFonts w:ascii="Arial" w:hAnsi="Arial" w:cs="Arial"/>
          <w:b/>
          <w:bCs/>
          <w:i/>
          <w:iCs/>
          <w:color w:val="252525"/>
        </w:rPr>
        <w:t xml:space="preserve"> Liabilities, </w:t>
      </w:r>
      <w:r>
        <w:rPr>
          <w:rFonts w:ascii="Arial" w:hAnsi="Arial" w:cs="Arial"/>
          <w:b/>
          <w:bCs/>
          <w:i/>
          <w:iCs/>
          <w:color w:val="252525"/>
        </w:rPr>
        <w:t>OPEB</w:t>
      </w:r>
      <w:r w:rsidR="00F61E87" w:rsidRPr="00FC7863">
        <w:rPr>
          <w:rFonts w:ascii="Arial" w:hAnsi="Arial" w:cs="Arial"/>
          <w:b/>
          <w:bCs/>
          <w:i/>
          <w:iCs/>
          <w:color w:val="252525"/>
        </w:rPr>
        <w:t xml:space="preserve"> Expense, and Deferred Outflows of Resources and Deferred Inflows of Resources Related to </w:t>
      </w:r>
      <w:r>
        <w:rPr>
          <w:rFonts w:ascii="Arial" w:hAnsi="Arial" w:cs="Arial"/>
          <w:b/>
          <w:bCs/>
          <w:i/>
          <w:iCs/>
          <w:color w:val="252525"/>
        </w:rPr>
        <w:t>OPEB</w:t>
      </w:r>
      <w:r w:rsidR="00F61E87" w:rsidRPr="00FC7863">
        <w:rPr>
          <w:rFonts w:ascii="Arial" w:hAnsi="Arial" w:cs="Arial"/>
          <w:b/>
          <w:bCs/>
          <w:color w:val="252525"/>
        </w:rPr>
        <w:t xml:space="preserve"> </w:t>
      </w:r>
    </w:p>
    <w:p w14:paraId="388704A9" w14:textId="77777777"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14:paraId="2ECAAC53" w14:textId="77777777" w:rsidR="002A7845"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color w:val="252525"/>
        </w:rPr>
        <w:t xml:space="preserve">At </w:t>
      </w:r>
      <w:r w:rsidR="000D57CA">
        <w:rPr>
          <w:rFonts w:ascii="Arial" w:hAnsi="Arial" w:cs="Arial"/>
          <w:color w:val="252525"/>
          <w:highlight w:val="yellow"/>
        </w:rPr>
        <w:t>mm/dd/yy</w:t>
      </w:r>
      <w:r w:rsidR="000D57CA" w:rsidRPr="000D57CA">
        <w:rPr>
          <w:rFonts w:ascii="Arial" w:hAnsi="Arial" w:cs="Arial"/>
          <w:color w:val="252525"/>
          <w:highlight w:val="yellow"/>
        </w:rPr>
        <w:t>yy</w:t>
      </w:r>
      <w:r w:rsidR="00FC7863">
        <w:rPr>
          <w:rFonts w:ascii="Arial" w:hAnsi="Arial" w:cs="Arial"/>
          <w:b/>
          <w:color w:val="00B050"/>
        </w:rPr>
        <w:t xml:space="preserve"> </w:t>
      </w:r>
      <w:r w:rsidR="00FC7863" w:rsidRPr="00FC7863">
        <w:rPr>
          <w:rFonts w:ascii="Arial" w:hAnsi="Arial" w:cs="Arial"/>
          <w:color w:val="FF0000"/>
        </w:rPr>
        <w:t>(</w:t>
      </w:r>
      <w:r w:rsidR="00596A60">
        <w:rPr>
          <w:rFonts w:ascii="Arial" w:hAnsi="Arial" w:cs="Arial"/>
          <w:color w:val="FF0000"/>
        </w:rPr>
        <w:t>employer</w:t>
      </w:r>
      <w:r w:rsidR="00FC7863" w:rsidRPr="00FC7863">
        <w:rPr>
          <w:rFonts w:ascii="Arial" w:hAnsi="Arial" w:cs="Arial"/>
          <w:color w:val="FF0000"/>
        </w:rPr>
        <w:t>’s fiscal year-end)</w:t>
      </w:r>
      <w:r w:rsidRPr="00FC7863">
        <w:rPr>
          <w:rFonts w:ascii="Arial" w:hAnsi="Arial" w:cs="Arial"/>
          <w:color w:val="252525"/>
        </w:rPr>
        <w:t xml:space="preserve">, the </w:t>
      </w:r>
      <w:r w:rsidR="00546C0B">
        <w:rPr>
          <w:rFonts w:ascii="Arial" w:hAnsi="Arial" w:cs="Arial"/>
          <w:color w:val="252525"/>
        </w:rPr>
        <w:t>Employer</w:t>
      </w:r>
      <w:r w:rsidRPr="00FC7863">
        <w:rPr>
          <w:rFonts w:ascii="Arial" w:hAnsi="Arial" w:cs="Arial"/>
          <w:color w:val="252525"/>
        </w:rPr>
        <w:t xml:space="preserve"> reported a liability of </w:t>
      </w:r>
      <w:r w:rsidR="000D57CA" w:rsidRPr="000D57CA">
        <w:rPr>
          <w:rFonts w:ascii="Arial" w:hAnsi="Arial" w:cs="Arial"/>
          <w:color w:val="252525"/>
          <w:highlight w:val="yellow"/>
        </w:rPr>
        <w:t>$$</w:t>
      </w:r>
      <w:r w:rsidR="00A56E41" w:rsidRPr="00FC7863">
        <w:rPr>
          <w:rFonts w:ascii="Arial" w:hAnsi="Arial" w:cs="Arial"/>
          <w:color w:val="252525"/>
          <w:highlight w:val="yellow"/>
        </w:rPr>
        <w:t>$</w:t>
      </w:r>
      <w:r w:rsidRPr="00FC7863">
        <w:rPr>
          <w:rFonts w:ascii="Arial" w:hAnsi="Arial" w:cs="Arial"/>
          <w:color w:val="252525"/>
        </w:rPr>
        <w:t xml:space="preserve"> </w:t>
      </w:r>
      <w:r w:rsidR="00023C36">
        <w:rPr>
          <w:rFonts w:ascii="Arial" w:hAnsi="Arial" w:cs="Arial"/>
          <w:color w:val="FF0000"/>
        </w:rPr>
        <w:t>(from</w:t>
      </w:r>
      <w:r w:rsidR="00276776">
        <w:rPr>
          <w:rFonts w:ascii="Arial" w:hAnsi="Arial" w:cs="Arial"/>
          <w:color w:val="FF0000"/>
        </w:rPr>
        <w:t xml:space="preserve"> </w:t>
      </w:r>
      <w:r w:rsidR="00834450">
        <w:rPr>
          <w:rFonts w:ascii="Arial" w:hAnsi="Arial" w:cs="Arial"/>
          <w:color w:val="FF0000"/>
        </w:rPr>
        <w:t xml:space="preserve">Section </w:t>
      </w:r>
      <w:r w:rsidR="003A3063">
        <w:rPr>
          <w:rFonts w:ascii="Arial" w:hAnsi="Arial" w:cs="Arial"/>
          <w:color w:val="FF0000"/>
        </w:rPr>
        <w:t xml:space="preserve">E, Schedule of Net </w:t>
      </w:r>
      <w:r w:rsidR="005D4D1C">
        <w:rPr>
          <w:rFonts w:ascii="Arial" w:hAnsi="Arial" w:cs="Arial"/>
          <w:color w:val="FF0000"/>
        </w:rPr>
        <w:t>OPEB</w:t>
      </w:r>
      <w:r w:rsidR="003A3063">
        <w:rPr>
          <w:rFonts w:ascii="Arial" w:hAnsi="Arial" w:cs="Arial"/>
          <w:color w:val="FF0000"/>
        </w:rPr>
        <w:t xml:space="preserve"> Liability by Employer</w:t>
      </w:r>
      <w:r w:rsidR="00317F10" w:rsidRPr="00FC7863">
        <w:rPr>
          <w:rFonts w:ascii="Arial" w:hAnsi="Arial" w:cs="Arial"/>
          <w:color w:val="FF0000"/>
        </w:rPr>
        <w:t>)</w:t>
      </w:r>
      <w:r w:rsidR="00317F10" w:rsidRPr="00FC7863">
        <w:rPr>
          <w:rFonts w:ascii="Arial" w:hAnsi="Arial" w:cs="Arial"/>
          <w:color w:val="252525"/>
        </w:rPr>
        <w:t xml:space="preserve"> </w:t>
      </w:r>
      <w:r w:rsidRPr="00FC7863">
        <w:rPr>
          <w:rFonts w:ascii="Arial" w:hAnsi="Arial" w:cs="Arial"/>
          <w:color w:val="252525"/>
        </w:rPr>
        <w:t xml:space="preserve">for its proportionate share of the net </w:t>
      </w:r>
      <w:r w:rsidR="005D4D1C">
        <w:rPr>
          <w:rFonts w:ascii="Arial" w:hAnsi="Arial" w:cs="Arial"/>
          <w:color w:val="252525"/>
        </w:rPr>
        <w:t>OPEB</w:t>
      </w:r>
      <w:r w:rsidRPr="00FC7863">
        <w:rPr>
          <w:rFonts w:ascii="Arial" w:hAnsi="Arial" w:cs="Arial"/>
          <w:color w:val="252525"/>
        </w:rPr>
        <w:t xml:space="preserve"> liability. The net </w:t>
      </w:r>
      <w:r w:rsidR="005D4D1C">
        <w:rPr>
          <w:rFonts w:ascii="Arial" w:hAnsi="Arial" w:cs="Arial"/>
          <w:color w:val="252525"/>
        </w:rPr>
        <w:t>OPEB</w:t>
      </w:r>
      <w:r w:rsidRPr="00FC7863">
        <w:rPr>
          <w:rFonts w:ascii="Arial" w:hAnsi="Arial" w:cs="Arial"/>
          <w:color w:val="252525"/>
        </w:rPr>
        <w:t xml:space="preserve"> liability was measured as of </w:t>
      </w:r>
      <w:r w:rsidR="000D57CA">
        <w:rPr>
          <w:rFonts w:ascii="Arial" w:hAnsi="Arial" w:cs="Arial"/>
          <w:color w:val="252525"/>
          <w:highlight w:val="yellow"/>
        </w:rPr>
        <w:t>mm/dd/yyyy</w:t>
      </w:r>
      <w:r w:rsidRPr="00FC7863">
        <w:rPr>
          <w:rFonts w:ascii="Arial" w:hAnsi="Arial" w:cs="Arial"/>
          <w:color w:val="252525"/>
        </w:rPr>
        <w:t xml:space="preserve">, </w:t>
      </w:r>
      <w:r w:rsidR="00276776">
        <w:rPr>
          <w:rFonts w:ascii="Arial" w:hAnsi="Arial" w:cs="Arial"/>
          <w:color w:val="FF0000"/>
        </w:rPr>
        <w:t>(</w:t>
      </w:r>
      <w:r w:rsidR="003A3063">
        <w:rPr>
          <w:rFonts w:ascii="Arial" w:hAnsi="Arial" w:cs="Arial"/>
          <w:color w:val="FF0000"/>
        </w:rPr>
        <w:t>date of NDPERS GASB Report</w:t>
      </w:r>
      <w:r w:rsidR="00FC7863">
        <w:rPr>
          <w:rFonts w:ascii="Arial" w:hAnsi="Arial" w:cs="Arial"/>
          <w:color w:val="FF0000"/>
        </w:rPr>
        <w:t xml:space="preserve">) </w:t>
      </w:r>
      <w:r w:rsidRPr="00FC7863">
        <w:rPr>
          <w:rFonts w:ascii="Arial" w:hAnsi="Arial" w:cs="Arial"/>
          <w:color w:val="252525"/>
        </w:rPr>
        <w:t xml:space="preserve">and the total </w:t>
      </w:r>
      <w:r w:rsidR="005D4D1C">
        <w:rPr>
          <w:rFonts w:ascii="Arial" w:hAnsi="Arial" w:cs="Arial"/>
          <w:color w:val="252525"/>
        </w:rPr>
        <w:t>OPEB</w:t>
      </w:r>
      <w:r w:rsidRPr="00FC7863">
        <w:rPr>
          <w:rFonts w:ascii="Arial" w:hAnsi="Arial" w:cs="Arial"/>
          <w:color w:val="252525"/>
        </w:rPr>
        <w:t xml:space="preserve"> liability used to calculate the net </w:t>
      </w:r>
      <w:r w:rsidR="005D4D1C">
        <w:rPr>
          <w:rFonts w:ascii="Arial" w:hAnsi="Arial" w:cs="Arial"/>
          <w:color w:val="252525"/>
        </w:rPr>
        <w:t>OPEB</w:t>
      </w:r>
      <w:r w:rsidRPr="00FC7863">
        <w:rPr>
          <w:rFonts w:ascii="Arial" w:hAnsi="Arial" w:cs="Arial"/>
          <w:color w:val="252525"/>
        </w:rPr>
        <w:t xml:space="preserve"> liability was determined by an actuarial valuation as of that date. The </w:t>
      </w:r>
      <w:r w:rsidR="00546C0B">
        <w:rPr>
          <w:rFonts w:ascii="Arial" w:hAnsi="Arial" w:cs="Arial"/>
          <w:color w:val="252525"/>
        </w:rPr>
        <w:t>Employer</w:t>
      </w:r>
      <w:r w:rsidRPr="00FC7863">
        <w:rPr>
          <w:rFonts w:ascii="Arial" w:hAnsi="Arial" w:cs="Arial"/>
          <w:color w:val="252525"/>
        </w:rPr>
        <w:t xml:space="preserve">'s proportion of the net </w:t>
      </w:r>
      <w:r w:rsidR="005D4D1C">
        <w:rPr>
          <w:rFonts w:ascii="Arial" w:hAnsi="Arial" w:cs="Arial"/>
          <w:color w:val="252525"/>
        </w:rPr>
        <w:t>OPEB</w:t>
      </w:r>
      <w:r w:rsidRPr="00FC7863">
        <w:rPr>
          <w:rFonts w:ascii="Arial" w:hAnsi="Arial" w:cs="Arial"/>
          <w:color w:val="252525"/>
        </w:rPr>
        <w:t xml:space="preserve"> liability was based on the </w:t>
      </w:r>
      <w:r w:rsidR="00546C0B">
        <w:rPr>
          <w:rFonts w:ascii="Arial" w:hAnsi="Arial" w:cs="Arial"/>
          <w:color w:val="252525"/>
        </w:rPr>
        <w:t>Employer</w:t>
      </w:r>
      <w:r w:rsidRPr="00FC7863">
        <w:rPr>
          <w:rFonts w:ascii="Arial" w:hAnsi="Arial" w:cs="Arial"/>
          <w:color w:val="252525"/>
        </w:rPr>
        <w:t>'s</w:t>
      </w:r>
      <w:r w:rsidR="002E1900" w:rsidRPr="00FC7863">
        <w:rPr>
          <w:rFonts w:ascii="Arial" w:hAnsi="Arial" w:cs="Arial"/>
          <w:color w:val="252525"/>
        </w:rPr>
        <w:t xml:space="preserve"> share of covered payroll in </w:t>
      </w:r>
      <w:r w:rsidRPr="00FC7863">
        <w:rPr>
          <w:rFonts w:ascii="Arial" w:hAnsi="Arial" w:cs="Arial"/>
          <w:color w:val="252525"/>
        </w:rPr>
        <w:t xml:space="preserve">the </w:t>
      </w:r>
      <w:r w:rsidR="005D4D1C">
        <w:rPr>
          <w:rFonts w:ascii="Arial" w:hAnsi="Arial" w:cs="Arial"/>
          <w:color w:val="252525"/>
        </w:rPr>
        <w:t>OPEB</w:t>
      </w:r>
      <w:r w:rsidRPr="00FC7863">
        <w:rPr>
          <w:rFonts w:ascii="Arial" w:hAnsi="Arial" w:cs="Arial"/>
          <w:color w:val="252525"/>
        </w:rPr>
        <w:t xml:space="preserve"> plan relative to the</w:t>
      </w:r>
      <w:r w:rsidR="002E1900" w:rsidRPr="00FC7863">
        <w:rPr>
          <w:rFonts w:ascii="Arial" w:hAnsi="Arial" w:cs="Arial"/>
          <w:color w:val="252525"/>
        </w:rPr>
        <w:t xml:space="preserve"> covered payroll</w:t>
      </w:r>
      <w:r w:rsidRPr="00FC7863">
        <w:rPr>
          <w:rFonts w:ascii="Arial" w:hAnsi="Arial" w:cs="Arial"/>
          <w:color w:val="252525"/>
        </w:rPr>
        <w:t xml:space="preserve"> of all participating</w:t>
      </w:r>
      <w:r w:rsidR="00276776">
        <w:rPr>
          <w:rFonts w:ascii="Arial" w:hAnsi="Arial" w:cs="Arial"/>
          <w:color w:val="252525"/>
        </w:rPr>
        <w:t xml:space="preserve"> </w:t>
      </w:r>
      <w:r w:rsidR="005D4D1C">
        <w:rPr>
          <w:rFonts w:ascii="Arial" w:hAnsi="Arial" w:cs="Arial"/>
          <w:color w:val="252525"/>
        </w:rPr>
        <w:t xml:space="preserve">OPEB </w:t>
      </w:r>
      <w:r w:rsidR="00546C0B">
        <w:rPr>
          <w:rFonts w:ascii="Arial" w:hAnsi="Arial" w:cs="Arial"/>
          <w:color w:val="252525"/>
        </w:rPr>
        <w:t>employer</w:t>
      </w:r>
      <w:r w:rsidRPr="00FC7863">
        <w:rPr>
          <w:rFonts w:ascii="Arial" w:hAnsi="Arial" w:cs="Arial"/>
          <w:color w:val="252525"/>
        </w:rPr>
        <w:t>s.</w:t>
      </w:r>
      <w:r w:rsidR="002E1900" w:rsidRPr="00FC7863">
        <w:rPr>
          <w:rFonts w:ascii="Arial" w:hAnsi="Arial" w:cs="Arial"/>
          <w:color w:val="252525"/>
        </w:rPr>
        <w:t xml:space="preserve"> </w:t>
      </w:r>
      <w:r w:rsidRPr="00FC7863">
        <w:rPr>
          <w:rFonts w:ascii="Arial" w:hAnsi="Arial" w:cs="Arial"/>
          <w:color w:val="252525"/>
        </w:rPr>
        <w:t xml:space="preserve"> </w:t>
      </w:r>
      <w:r w:rsidRPr="00FC7863">
        <w:rPr>
          <w:rFonts w:ascii="Arial" w:hAnsi="Arial" w:cs="Arial"/>
        </w:rPr>
        <w:t>At</w:t>
      </w:r>
      <w:r w:rsidR="002F7FAD">
        <w:rPr>
          <w:rFonts w:ascii="Arial" w:hAnsi="Arial" w:cs="Arial"/>
        </w:rPr>
        <w:t xml:space="preserve"> </w:t>
      </w:r>
      <w:r w:rsidR="000D57CA">
        <w:rPr>
          <w:rFonts w:ascii="Arial" w:hAnsi="Arial" w:cs="Arial"/>
          <w:highlight w:val="yellow"/>
        </w:rPr>
        <w:t>mm/dd/yyyy</w:t>
      </w:r>
      <w:r w:rsidRPr="00FC7863">
        <w:rPr>
          <w:rFonts w:ascii="Arial" w:hAnsi="Arial" w:cs="Arial"/>
          <w:color w:val="252525"/>
        </w:rPr>
        <w:t xml:space="preserve">, </w:t>
      </w:r>
      <w:r w:rsidR="000D15F2">
        <w:rPr>
          <w:rFonts w:ascii="Arial" w:hAnsi="Arial" w:cs="Arial"/>
          <w:color w:val="FF0000"/>
        </w:rPr>
        <w:t>(date of NDPERS</w:t>
      </w:r>
      <w:r w:rsidR="00FB0602">
        <w:rPr>
          <w:rFonts w:ascii="Arial" w:hAnsi="Arial" w:cs="Arial"/>
          <w:color w:val="FF0000"/>
        </w:rPr>
        <w:t xml:space="preserve"> GASB R</w:t>
      </w:r>
      <w:r w:rsidR="00FC7863">
        <w:rPr>
          <w:rFonts w:ascii="Arial" w:hAnsi="Arial" w:cs="Arial"/>
          <w:color w:val="FF0000"/>
        </w:rPr>
        <w:t xml:space="preserve">eport) </w:t>
      </w:r>
      <w:r w:rsidRPr="00FC7863">
        <w:rPr>
          <w:rFonts w:ascii="Arial" w:hAnsi="Arial" w:cs="Arial"/>
          <w:color w:val="252525"/>
        </w:rPr>
        <w:t>the</w:t>
      </w:r>
      <w:r w:rsidR="00546C0B">
        <w:rPr>
          <w:rFonts w:ascii="Arial" w:hAnsi="Arial" w:cs="Arial"/>
          <w:color w:val="252525"/>
        </w:rPr>
        <w:t xml:space="preserve"> Employer</w:t>
      </w:r>
      <w:r w:rsidRPr="00FC7863">
        <w:rPr>
          <w:rFonts w:ascii="Arial" w:hAnsi="Arial" w:cs="Arial"/>
          <w:color w:val="252525"/>
        </w:rPr>
        <w:t xml:space="preserve">'s proportion was </w:t>
      </w:r>
      <w:r w:rsidR="000D57CA">
        <w:rPr>
          <w:rFonts w:ascii="Arial" w:hAnsi="Arial" w:cs="Arial"/>
          <w:color w:val="252525"/>
          <w:highlight w:val="yellow"/>
        </w:rPr>
        <w:t>X.XXXXXX</w:t>
      </w:r>
      <w:r w:rsidRPr="00FC7863">
        <w:rPr>
          <w:rFonts w:ascii="Arial" w:hAnsi="Arial" w:cs="Arial"/>
          <w:color w:val="252525"/>
        </w:rPr>
        <w:t xml:space="preserve"> percent, </w:t>
      </w:r>
      <w:r w:rsidR="00B466DF" w:rsidRPr="00FC7863">
        <w:rPr>
          <w:rFonts w:ascii="Arial" w:hAnsi="Arial" w:cs="Arial"/>
          <w:color w:val="FF0000"/>
        </w:rPr>
        <w:t>(</w:t>
      </w:r>
      <w:r w:rsidR="003A3063">
        <w:rPr>
          <w:rFonts w:ascii="Arial" w:hAnsi="Arial" w:cs="Arial"/>
          <w:color w:val="FF0000"/>
        </w:rPr>
        <w:t xml:space="preserve">from Section E, Schedule of Net </w:t>
      </w:r>
      <w:r w:rsidR="005D4D1C">
        <w:rPr>
          <w:rFonts w:ascii="Arial" w:hAnsi="Arial" w:cs="Arial"/>
          <w:color w:val="FF0000"/>
        </w:rPr>
        <w:t>OPEB</w:t>
      </w:r>
      <w:r w:rsidR="003A3063">
        <w:rPr>
          <w:rFonts w:ascii="Arial" w:hAnsi="Arial" w:cs="Arial"/>
          <w:color w:val="FF0000"/>
        </w:rPr>
        <w:t xml:space="preserve"> Liability by Employer</w:t>
      </w:r>
      <w:r w:rsidR="00B466DF" w:rsidRPr="004D74BC">
        <w:rPr>
          <w:rFonts w:ascii="Arial" w:hAnsi="Arial" w:cs="Arial"/>
          <w:color w:val="FF0000"/>
        </w:rPr>
        <w:t>)</w:t>
      </w:r>
      <w:r w:rsidR="00B466DF" w:rsidRPr="00FC7863">
        <w:rPr>
          <w:rFonts w:ascii="Arial" w:hAnsi="Arial" w:cs="Arial"/>
          <w:color w:val="252525"/>
        </w:rPr>
        <w:t xml:space="preserve"> </w:t>
      </w:r>
      <w:r w:rsidRPr="00FC7863">
        <w:rPr>
          <w:rFonts w:ascii="Arial" w:hAnsi="Arial" w:cs="Arial"/>
          <w:color w:val="252525"/>
        </w:rPr>
        <w:t xml:space="preserve">which was an </w:t>
      </w:r>
      <w:r w:rsidRPr="00996962">
        <w:rPr>
          <w:rFonts w:ascii="Arial" w:hAnsi="Arial" w:cs="Arial"/>
          <w:color w:val="252525"/>
          <w:highlight w:val="yellow"/>
        </w:rPr>
        <w:t>increase</w:t>
      </w:r>
      <w:r w:rsidR="00996962" w:rsidRPr="00996962">
        <w:rPr>
          <w:rFonts w:ascii="Arial" w:hAnsi="Arial" w:cs="Arial"/>
          <w:color w:val="252525"/>
          <w:highlight w:val="yellow"/>
        </w:rPr>
        <w:t xml:space="preserve"> or decrease</w:t>
      </w:r>
      <w:r w:rsidRPr="00FC7863">
        <w:rPr>
          <w:rFonts w:ascii="Arial" w:hAnsi="Arial" w:cs="Arial"/>
          <w:color w:val="252525"/>
        </w:rPr>
        <w:t xml:space="preserve"> of </w:t>
      </w:r>
      <w:r w:rsidR="00067FA6" w:rsidRPr="00067FA6">
        <w:rPr>
          <w:rFonts w:ascii="Arial" w:hAnsi="Arial" w:cs="Arial"/>
          <w:color w:val="252525"/>
          <w:highlight w:val="yellow"/>
        </w:rPr>
        <w:t>X</w:t>
      </w:r>
      <w:r w:rsidR="00B466DF" w:rsidRPr="00067FA6">
        <w:rPr>
          <w:rFonts w:ascii="Arial" w:hAnsi="Arial" w:cs="Arial"/>
          <w:color w:val="252525"/>
          <w:highlight w:val="yellow"/>
        </w:rPr>
        <w:t>.</w:t>
      </w:r>
      <w:r w:rsidR="00067FA6">
        <w:rPr>
          <w:rFonts w:ascii="Arial" w:hAnsi="Arial" w:cs="Arial"/>
          <w:color w:val="252525"/>
          <w:highlight w:val="yellow"/>
        </w:rPr>
        <w:t>XXXXXX</w:t>
      </w:r>
      <w:r w:rsidRPr="00FC7863">
        <w:rPr>
          <w:rFonts w:ascii="Arial" w:hAnsi="Arial" w:cs="Arial"/>
          <w:color w:val="252525"/>
        </w:rPr>
        <w:t xml:space="preserve"> </w:t>
      </w:r>
      <w:r w:rsidR="00067FA6">
        <w:rPr>
          <w:rFonts w:ascii="Arial" w:hAnsi="Arial" w:cs="Arial"/>
          <w:color w:val="252525"/>
        </w:rPr>
        <w:t xml:space="preserve"> </w:t>
      </w:r>
      <w:r w:rsidR="00067FA6" w:rsidRPr="00067FA6">
        <w:rPr>
          <w:rFonts w:ascii="Arial" w:hAnsi="Arial" w:cs="Arial"/>
          <w:color w:val="FF0000"/>
        </w:rPr>
        <w:t>(employer will select increase or decrease and calculate change</w:t>
      </w:r>
      <w:r w:rsidR="005C25A1">
        <w:rPr>
          <w:rFonts w:ascii="Arial" w:hAnsi="Arial" w:cs="Arial"/>
          <w:color w:val="FF0000"/>
        </w:rPr>
        <w:t xml:space="preserve"> – not applicable for first year of implementation</w:t>
      </w:r>
      <w:r w:rsidR="00067FA6" w:rsidRPr="00067FA6">
        <w:rPr>
          <w:rFonts w:ascii="Arial" w:hAnsi="Arial" w:cs="Arial"/>
          <w:color w:val="FF0000"/>
        </w:rPr>
        <w:t>)</w:t>
      </w:r>
      <w:r w:rsidR="00067FA6">
        <w:rPr>
          <w:rFonts w:ascii="Arial" w:hAnsi="Arial" w:cs="Arial"/>
          <w:color w:val="252525"/>
        </w:rPr>
        <w:t xml:space="preserve"> </w:t>
      </w:r>
      <w:r w:rsidRPr="00FC7863">
        <w:rPr>
          <w:rFonts w:ascii="Arial" w:hAnsi="Arial" w:cs="Arial"/>
          <w:color w:val="252525"/>
        </w:rPr>
        <w:t xml:space="preserve">from its proportion measured as of </w:t>
      </w:r>
      <w:r w:rsidR="000D57CA">
        <w:rPr>
          <w:rFonts w:ascii="Arial" w:hAnsi="Arial" w:cs="Arial"/>
          <w:color w:val="252525"/>
          <w:highlight w:val="yellow"/>
        </w:rPr>
        <w:t>mm/dd/yyyy</w:t>
      </w:r>
      <w:r w:rsidR="00FC7863">
        <w:rPr>
          <w:rFonts w:ascii="Arial" w:hAnsi="Arial" w:cs="Arial"/>
          <w:color w:val="00B050"/>
        </w:rPr>
        <w:t xml:space="preserve"> </w:t>
      </w:r>
      <w:r w:rsidR="00FC7863">
        <w:rPr>
          <w:rFonts w:ascii="Arial" w:hAnsi="Arial" w:cs="Arial"/>
          <w:color w:val="FF0000"/>
        </w:rPr>
        <w:t>(one year prior to date above)</w:t>
      </w:r>
      <w:r w:rsidR="00067FA6">
        <w:rPr>
          <w:rFonts w:ascii="Arial" w:hAnsi="Arial" w:cs="Arial"/>
          <w:color w:val="FF0000"/>
        </w:rPr>
        <w:t>.</w:t>
      </w:r>
      <w:r w:rsidR="00B466DF" w:rsidRPr="00FC7863">
        <w:rPr>
          <w:rFonts w:ascii="Arial" w:hAnsi="Arial" w:cs="Arial"/>
          <w:color w:val="252525"/>
        </w:rPr>
        <w:t xml:space="preserve"> </w:t>
      </w:r>
    </w:p>
    <w:p w14:paraId="3041B954" w14:textId="77777777" w:rsidR="00FC7863" w:rsidRDefault="00F61E87" w:rsidP="00716AA9">
      <w:pPr>
        <w:widowControl w:val="0"/>
        <w:suppressAutoHyphens/>
        <w:autoSpaceDE w:val="0"/>
        <w:autoSpaceDN w:val="0"/>
        <w:adjustRightInd w:val="0"/>
        <w:spacing w:after="0" w:line="240" w:lineRule="auto"/>
        <w:jc w:val="both"/>
        <w:rPr>
          <w:rFonts w:ascii="Arial" w:hAnsi="Arial" w:cs="Arial"/>
          <w:i/>
          <w:color w:val="A6A6A6" w:themeColor="background1" w:themeShade="A6"/>
        </w:rPr>
      </w:pPr>
      <w:r w:rsidRPr="00FC7863">
        <w:rPr>
          <w:rFonts w:ascii="Arial" w:hAnsi="Arial" w:cs="Arial"/>
          <w:i/>
          <w:color w:val="A6A6A6" w:themeColor="background1" w:themeShade="A6"/>
        </w:rPr>
        <w:t xml:space="preserve">[If there had been a change of benefit terms that affected the measurement of the total </w:t>
      </w:r>
      <w:r w:rsidR="005D4D1C">
        <w:rPr>
          <w:rFonts w:ascii="Arial" w:hAnsi="Arial" w:cs="Arial"/>
          <w:i/>
          <w:color w:val="A6A6A6" w:themeColor="background1" w:themeShade="A6"/>
        </w:rPr>
        <w:t>OPEB</w:t>
      </w:r>
      <w:r w:rsidRPr="00FC7863">
        <w:rPr>
          <w:rFonts w:ascii="Arial" w:hAnsi="Arial" w:cs="Arial"/>
          <w:i/>
          <w:color w:val="A6A6A6" w:themeColor="background1" w:themeShade="A6"/>
        </w:rPr>
        <w:t xml:space="preserve"> liability since the prior measurement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w:t>
      </w:r>
      <w:r w:rsidR="00D7576E" w:rsidRPr="00FC7863">
        <w:rPr>
          <w:rFonts w:ascii="Arial" w:hAnsi="Arial" w:cs="Arial"/>
          <w:i/>
          <w:color w:val="A6A6A6" w:themeColor="background1" w:themeShade="A6"/>
        </w:rPr>
        <w:t xml:space="preserve"> </w:t>
      </w:r>
    </w:p>
    <w:p w14:paraId="646FA8CD" w14:textId="77777777" w:rsidR="00B54C20" w:rsidRPr="00FC7863" w:rsidRDefault="00B54C20" w:rsidP="00716AA9">
      <w:pPr>
        <w:widowControl w:val="0"/>
        <w:suppressAutoHyphens/>
        <w:autoSpaceDE w:val="0"/>
        <w:autoSpaceDN w:val="0"/>
        <w:adjustRightInd w:val="0"/>
        <w:spacing w:after="0" w:line="240" w:lineRule="auto"/>
        <w:jc w:val="both"/>
        <w:rPr>
          <w:rFonts w:ascii="Arial" w:hAnsi="Arial" w:cs="Arial"/>
          <w:i/>
          <w:color w:val="A6A6A6" w:themeColor="background1" w:themeShade="A6"/>
        </w:rPr>
      </w:pPr>
    </w:p>
    <w:p w14:paraId="2AAB9FC8" w14:textId="77777777" w:rsidR="00BA5BF4" w:rsidRDefault="00F61E87" w:rsidP="00BA5BF4">
      <w:pPr>
        <w:widowControl w:val="0"/>
        <w:suppressAutoHyphens/>
        <w:autoSpaceDE w:val="0"/>
        <w:autoSpaceDN w:val="0"/>
        <w:adjustRightInd w:val="0"/>
        <w:spacing w:after="0" w:line="240" w:lineRule="auto"/>
        <w:jc w:val="both"/>
        <w:rPr>
          <w:rFonts w:ascii="Arial" w:hAnsi="Arial" w:cs="Arial"/>
          <w:b/>
          <w:i/>
          <w:color w:val="A6A6A6" w:themeColor="background1" w:themeShade="A6"/>
        </w:rPr>
      </w:pPr>
      <w:r w:rsidRPr="00FC7863">
        <w:rPr>
          <w:rFonts w:ascii="Arial" w:hAnsi="Arial" w:cs="Arial"/>
          <w:i/>
          <w:color w:val="A6A6A6" w:themeColor="background1" w:themeShade="A6"/>
        </w:rPr>
        <w:t>[If changes expected to have a significant effect on the measurement of the</w:t>
      </w:r>
      <w:r w:rsidR="00546C0B">
        <w:rPr>
          <w:rFonts w:ascii="Arial" w:hAnsi="Arial" w:cs="Arial"/>
          <w:i/>
          <w:color w:val="A6A6A6" w:themeColor="background1" w:themeShade="A6"/>
        </w:rPr>
        <w:t xml:space="preserve"> Employer</w:t>
      </w:r>
      <w:r w:rsidR="0045208B">
        <w:rPr>
          <w:rFonts w:ascii="Arial" w:hAnsi="Arial" w:cs="Arial"/>
          <w:i/>
          <w:color w:val="A6A6A6" w:themeColor="background1" w:themeShade="A6"/>
        </w:rPr>
        <w:t xml:space="preserve">’s proportionate share of the </w:t>
      </w:r>
      <w:r w:rsidRPr="00FC7863">
        <w:rPr>
          <w:rFonts w:ascii="Arial" w:hAnsi="Arial" w:cs="Arial"/>
          <w:i/>
          <w:color w:val="A6A6A6" w:themeColor="background1" w:themeShade="A6"/>
        </w:rPr>
        <w:t xml:space="preserve">net </w:t>
      </w:r>
      <w:r w:rsidR="00951F49">
        <w:rPr>
          <w:rFonts w:ascii="Arial" w:hAnsi="Arial" w:cs="Arial"/>
          <w:i/>
          <w:color w:val="A6A6A6" w:themeColor="background1" w:themeShade="A6"/>
        </w:rPr>
        <w:t>OPEB</w:t>
      </w:r>
      <w:r w:rsidRPr="00FC7863">
        <w:rPr>
          <w:rFonts w:ascii="Arial" w:hAnsi="Arial" w:cs="Arial"/>
          <w:i/>
          <w:color w:val="A6A6A6" w:themeColor="background1" w:themeShade="A6"/>
        </w:rPr>
        <w:t xml:space="preserve"> liability had occurred between the measurement date and the reporting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w:t>
      </w:r>
      <w:r w:rsidR="00BA5BF4">
        <w:rPr>
          <w:rFonts w:ascii="Arial" w:hAnsi="Arial" w:cs="Arial"/>
          <w:i/>
          <w:color w:val="A6A6A6" w:themeColor="background1" w:themeShade="A6"/>
        </w:rPr>
        <w:t xml:space="preserve"> </w:t>
      </w:r>
    </w:p>
    <w:p w14:paraId="151D974C" w14:textId="77777777" w:rsidR="002A7845" w:rsidRDefault="00F61E87" w:rsidP="00922F57">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color w:val="252525"/>
        </w:rPr>
        <w:lastRenderedPageBreak/>
        <w:t xml:space="preserve">For the year ended </w:t>
      </w:r>
      <w:r w:rsidR="000D57CA">
        <w:rPr>
          <w:rFonts w:ascii="Arial" w:hAnsi="Arial" w:cs="Arial"/>
          <w:color w:val="000000" w:themeColor="text1"/>
          <w:highlight w:val="yellow"/>
        </w:rPr>
        <w:t>mm/dd/yyyy</w:t>
      </w:r>
      <w:r w:rsidRPr="00FC7863">
        <w:rPr>
          <w:rFonts w:ascii="Arial" w:hAnsi="Arial" w:cs="Arial"/>
          <w:color w:val="252525"/>
        </w:rPr>
        <w:t>,</w:t>
      </w:r>
      <w:r w:rsidR="00FC7863">
        <w:rPr>
          <w:rFonts w:ascii="Arial" w:hAnsi="Arial" w:cs="Arial"/>
          <w:color w:val="252525"/>
        </w:rPr>
        <w:t xml:space="preserve"> </w:t>
      </w:r>
      <w:r w:rsidR="00FC7863">
        <w:rPr>
          <w:rFonts w:ascii="Arial" w:hAnsi="Arial" w:cs="Arial"/>
          <w:color w:val="FF0000"/>
        </w:rPr>
        <w:t>(</w:t>
      </w:r>
      <w:r w:rsidR="0045208B">
        <w:rPr>
          <w:rFonts w:ascii="Arial" w:hAnsi="Arial" w:cs="Arial"/>
          <w:color w:val="FF0000"/>
        </w:rPr>
        <w:t>employer</w:t>
      </w:r>
      <w:r w:rsidR="00FC7863">
        <w:rPr>
          <w:rFonts w:ascii="Arial" w:hAnsi="Arial" w:cs="Arial"/>
          <w:color w:val="FF0000"/>
        </w:rPr>
        <w:t>’s fiscal year-end)</w:t>
      </w:r>
      <w:r w:rsidRPr="00FC7863">
        <w:rPr>
          <w:rFonts w:ascii="Arial" w:hAnsi="Arial" w:cs="Arial"/>
          <w:color w:val="252525"/>
        </w:rPr>
        <w:t xml:space="preserve"> the</w:t>
      </w:r>
      <w:r w:rsidR="00546C0B">
        <w:rPr>
          <w:rFonts w:ascii="Arial" w:hAnsi="Arial" w:cs="Arial"/>
          <w:color w:val="252525"/>
        </w:rPr>
        <w:t xml:space="preserve"> Employer</w:t>
      </w:r>
      <w:r w:rsidRPr="00FC7863">
        <w:rPr>
          <w:rFonts w:ascii="Arial" w:hAnsi="Arial" w:cs="Arial"/>
          <w:color w:val="252525"/>
        </w:rPr>
        <w:t xml:space="preserve"> recognized </w:t>
      </w:r>
      <w:r w:rsidR="001A7F3B">
        <w:rPr>
          <w:rFonts w:ascii="Arial" w:hAnsi="Arial" w:cs="Arial"/>
          <w:color w:val="252525"/>
        </w:rPr>
        <w:t>OPEB</w:t>
      </w:r>
      <w:r w:rsidRPr="00FC7863">
        <w:rPr>
          <w:rFonts w:ascii="Arial" w:hAnsi="Arial" w:cs="Arial"/>
          <w:color w:val="252525"/>
        </w:rPr>
        <w:t xml:space="preserve"> expense of </w:t>
      </w:r>
      <w:r w:rsidRPr="00FC7863">
        <w:rPr>
          <w:rFonts w:ascii="Arial" w:hAnsi="Arial" w:cs="Arial"/>
          <w:color w:val="252525"/>
          <w:highlight w:val="yellow"/>
        </w:rPr>
        <w:t>$</w:t>
      </w:r>
      <w:r w:rsidR="000D57CA">
        <w:rPr>
          <w:rFonts w:ascii="Arial" w:hAnsi="Arial" w:cs="Arial"/>
          <w:color w:val="252525"/>
          <w:highlight w:val="yellow"/>
        </w:rPr>
        <w:t>$$</w:t>
      </w:r>
      <w:r w:rsidR="00D7576E" w:rsidRPr="00FC7863">
        <w:rPr>
          <w:rFonts w:ascii="Arial" w:hAnsi="Arial" w:cs="Arial"/>
          <w:color w:val="252525"/>
        </w:rPr>
        <w:t xml:space="preserve"> </w:t>
      </w:r>
      <w:r w:rsidR="00D7576E" w:rsidRPr="00FC7863">
        <w:rPr>
          <w:rFonts w:ascii="Arial" w:hAnsi="Arial" w:cs="Arial"/>
          <w:color w:val="FF0000"/>
        </w:rPr>
        <w:t>(</w:t>
      </w:r>
      <w:r w:rsidR="00D7576E" w:rsidRPr="00E665BF">
        <w:rPr>
          <w:rFonts w:ascii="Arial" w:hAnsi="Arial" w:cs="Arial"/>
          <w:color w:val="FF0000"/>
        </w:rPr>
        <w:t xml:space="preserve">from </w:t>
      </w:r>
      <w:r w:rsidR="00C6620A">
        <w:rPr>
          <w:rFonts w:ascii="Arial" w:hAnsi="Arial" w:cs="Arial"/>
          <w:color w:val="FF0000"/>
        </w:rPr>
        <w:t xml:space="preserve">Section </w:t>
      </w:r>
      <w:r w:rsidR="00F0572D">
        <w:rPr>
          <w:rFonts w:ascii="Arial" w:hAnsi="Arial" w:cs="Arial"/>
          <w:color w:val="FF0000"/>
        </w:rPr>
        <w:t>E</w:t>
      </w:r>
      <w:r w:rsidR="00C6620A">
        <w:rPr>
          <w:rFonts w:ascii="Arial" w:hAnsi="Arial" w:cs="Arial"/>
          <w:color w:val="FF0000"/>
        </w:rPr>
        <w:t xml:space="preserve">, </w:t>
      </w:r>
      <w:r w:rsidR="00F0572D">
        <w:rPr>
          <w:rFonts w:ascii="Arial" w:hAnsi="Arial" w:cs="Arial"/>
          <w:color w:val="FF0000"/>
        </w:rPr>
        <w:t xml:space="preserve">Schedule of </w:t>
      </w:r>
      <w:r w:rsidR="001A7F3B">
        <w:rPr>
          <w:rFonts w:ascii="Arial" w:hAnsi="Arial" w:cs="Arial"/>
          <w:color w:val="FF0000"/>
        </w:rPr>
        <w:t>Contributions</w:t>
      </w:r>
      <w:r w:rsidR="00F0572D">
        <w:rPr>
          <w:rFonts w:ascii="Arial" w:hAnsi="Arial" w:cs="Arial"/>
          <w:color w:val="FF0000"/>
        </w:rPr>
        <w:t xml:space="preserve"> by Employer</w:t>
      </w:r>
      <w:r w:rsidR="00D7576E" w:rsidRPr="00E665BF">
        <w:rPr>
          <w:rFonts w:ascii="Arial" w:hAnsi="Arial" w:cs="Arial"/>
          <w:color w:val="FF0000"/>
        </w:rPr>
        <w:t>)</w:t>
      </w:r>
      <w:r w:rsidRPr="00E665BF">
        <w:rPr>
          <w:rFonts w:ascii="Arial" w:hAnsi="Arial" w:cs="Arial"/>
          <w:color w:val="252525"/>
        </w:rPr>
        <w:t>.</w:t>
      </w:r>
      <w:r w:rsidRPr="00FC7863">
        <w:rPr>
          <w:rFonts w:ascii="Arial" w:hAnsi="Arial" w:cs="Arial"/>
          <w:color w:val="252525"/>
        </w:rPr>
        <w:t xml:space="preserve"> At </w:t>
      </w:r>
      <w:r w:rsidR="000D57CA">
        <w:rPr>
          <w:rFonts w:ascii="Arial" w:hAnsi="Arial" w:cs="Arial"/>
          <w:color w:val="000000" w:themeColor="text1"/>
          <w:highlight w:val="yellow"/>
        </w:rPr>
        <w:t>mm/dd/yyyy</w:t>
      </w:r>
      <w:r w:rsidRPr="00FC7863">
        <w:rPr>
          <w:rFonts w:ascii="Arial" w:hAnsi="Arial" w:cs="Arial"/>
          <w:color w:val="252525"/>
        </w:rPr>
        <w:t xml:space="preserve">, </w:t>
      </w:r>
      <w:r w:rsidR="00FC7863">
        <w:rPr>
          <w:rFonts w:ascii="Arial" w:hAnsi="Arial" w:cs="Arial"/>
          <w:color w:val="FF0000"/>
        </w:rPr>
        <w:t>(</w:t>
      </w:r>
      <w:r w:rsidR="0045208B">
        <w:rPr>
          <w:rFonts w:ascii="Arial" w:hAnsi="Arial" w:cs="Arial"/>
          <w:color w:val="FF0000"/>
        </w:rPr>
        <w:t>employer</w:t>
      </w:r>
      <w:r w:rsidR="00FC7863">
        <w:rPr>
          <w:rFonts w:ascii="Arial" w:hAnsi="Arial" w:cs="Arial"/>
          <w:color w:val="FF0000"/>
        </w:rPr>
        <w:t xml:space="preserve">’s fiscal year-end) </w:t>
      </w:r>
      <w:r w:rsidRPr="00FC7863">
        <w:rPr>
          <w:rFonts w:ascii="Arial" w:hAnsi="Arial" w:cs="Arial"/>
          <w:color w:val="252525"/>
        </w:rPr>
        <w:t xml:space="preserve">the </w:t>
      </w:r>
      <w:r w:rsidR="00546C0B">
        <w:rPr>
          <w:rFonts w:ascii="Arial" w:hAnsi="Arial" w:cs="Arial"/>
          <w:color w:val="252525"/>
        </w:rPr>
        <w:t>Employer</w:t>
      </w:r>
      <w:r w:rsidRPr="00FC7863">
        <w:rPr>
          <w:rFonts w:ascii="Arial" w:hAnsi="Arial" w:cs="Arial"/>
          <w:color w:val="252525"/>
        </w:rPr>
        <w:t xml:space="preserve"> reported deferred outflows of resources and deferred inflows of resources related to </w:t>
      </w:r>
      <w:r w:rsidR="001A7F3B">
        <w:rPr>
          <w:rFonts w:ascii="Arial" w:hAnsi="Arial" w:cs="Arial"/>
          <w:color w:val="252525"/>
        </w:rPr>
        <w:t>OPEB</w:t>
      </w:r>
      <w:r w:rsidRPr="00FC7863">
        <w:rPr>
          <w:rFonts w:ascii="Arial" w:hAnsi="Arial" w:cs="Arial"/>
          <w:color w:val="252525"/>
        </w:rPr>
        <w:t xml:space="preserve"> from the following sources</w:t>
      </w:r>
      <w:r w:rsidR="00D7576E" w:rsidRPr="00FC7863">
        <w:rPr>
          <w:rFonts w:ascii="Arial" w:hAnsi="Arial" w:cs="Arial"/>
          <w:color w:val="252525"/>
        </w:rPr>
        <w:t xml:space="preserve"> </w:t>
      </w:r>
      <w:r w:rsidR="00D7576E" w:rsidRPr="00C81A1F">
        <w:rPr>
          <w:rFonts w:ascii="Arial" w:hAnsi="Arial" w:cs="Arial"/>
          <w:color w:val="FF0000"/>
        </w:rPr>
        <w:t xml:space="preserve">(from </w:t>
      </w:r>
      <w:r w:rsidR="00C6620A">
        <w:rPr>
          <w:rFonts w:ascii="Arial" w:hAnsi="Arial" w:cs="Arial"/>
          <w:color w:val="FF0000"/>
        </w:rPr>
        <w:t xml:space="preserve">Section </w:t>
      </w:r>
      <w:r w:rsidR="00F0572D">
        <w:rPr>
          <w:rFonts w:ascii="Arial" w:hAnsi="Arial" w:cs="Arial"/>
          <w:color w:val="FF0000"/>
        </w:rPr>
        <w:t>E</w:t>
      </w:r>
      <w:r w:rsidR="00C6620A">
        <w:rPr>
          <w:rFonts w:ascii="Arial" w:hAnsi="Arial" w:cs="Arial"/>
          <w:color w:val="FF0000"/>
        </w:rPr>
        <w:t xml:space="preserve">, </w:t>
      </w:r>
      <w:r w:rsidR="00F0572D">
        <w:rPr>
          <w:rFonts w:ascii="Arial" w:hAnsi="Arial" w:cs="Arial"/>
          <w:color w:val="FF0000"/>
        </w:rPr>
        <w:t>Schedule of Net Deferred Outflows and Inflows by Year by Employer</w:t>
      </w:r>
      <w:r w:rsidR="00D7576E" w:rsidRPr="00C81A1F">
        <w:rPr>
          <w:rFonts w:ascii="Arial" w:hAnsi="Arial" w:cs="Arial"/>
          <w:color w:val="FF0000"/>
        </w:rPr>
        <w:t>)</w:t>
      </w:r>
      <w:r w:rsidRPr="00C81A1F">
        <w:rPr>
          <w:rFonts w:ascii="Arial" w:hAnsi="Arial" w:cs="Arial"/>
          <w:color w:val="252525"/>
        </w:rPr>
        <w:t>:</w:t>
      </w:r>
    </w:p>
    <w:p w14:paraId="2B41F7B5" w14:textId="77777777" w:rsidR="00A024EC" w:rsidRDefault="00A024EC" w:rsidP="00922F57">
      <w:pPr>
        <w:widowControl w:val="0"/>
        <w:suppressAutoHyphens/>
        <w:autoSpaceDE w:val="0"/>
        <w:autoSpaceDN w:val="0"/>
        <w:adjustRightInd w:val="0"/>
        <w:spacing w:after="0" w:line="240" w:lineRule="auto"/>
        <w:jc w:val="both"/>
        <w:rPr>
          <w:rFonts w:ascii="Arial" w:hAnsi="Arial" w:cs="Arial"/>
          <w:color w:val="252525"/>
        </w:rPr>
      </w:pPr>
    </w:p>
    <w:p w14:paraId="1CC89DF8" w14:textId="77777777" w:rsidR="00A024EC" w:rsidRDefault="00A024EC" w:rsidP="00922F57">
      <w:pPr>
        <w:widowControl w:val="0"/>
        <w:suppressAutoHyphens/>
        <w:autoSpaceDE w:val="0"/>
        <w:autoSpaceDN w:val="0"/>
        <w:adjustRightInd w:val="0"/>
        <w:spacing w:after="0" w:line="240" w:lineRule="auto"/>
        <w:jc w:val="both"/>
        <w:rPr>
          <w:rFonts w:ascii="Arial" w:hAnsi="Arial" w:cs="Arial"/>
          <w:color w:val="252525"/>
        </w:rPr>
      </w:pPr>
    </w:p>
    <w:tbl>
      <w:tblPr>
        <w:tblW w:w="0" w:type="auto"/>
        <w:tblInd w:w="20" w:type="dxa"/>
        <w:tblLayout w:type="fixed"/>
        <w:tblCellMar>
          <w:left w:w="0" w:type="dxa"/>
          <w:right w:w="0" w:type="dxa"/>
        </w:tblCellMar>
        <w:tblLook w:val="0000" w:firstRow="0" w:lastRow="0" w:firstColumn="0" w:lastColumn="0" w:noHBand="0" w:noVBand="0"/>
      </w:tblPr>
      <w:tblGrid>
        <w:gridCol w:w="3120"/>
        <w:gridCol w:w="3120"/>
        <w:gridCol w:w="3120"/>
      </w:tblGrid>
      <w:tr w:rsidR="002A7845" w:rsidRPr="00FC7863" w14:paraId="2E1AD55B" w14:textId="77777777">
        <w:tc>
          <w:tcPr>
            <w:tcW w:w="3120" w:type="dxa"/>
            <w:tcBorders>
              <w:top w:val="nil"/>
              <w:left w:val="nil"/>
              <w:bottom w:val="nil"/>
              <w:right w:val="nil"/>
            </w:tcBorders>
            <w:tcMar>
              <w:top w:w="20" w:type="dxa"/>
              <w:left w:w="20" w:type="dxa"/>
              <w:bottom w:w="20" w:type="dxa"/>
              <w:right w:w="20" w:type="dxa"/>
            </w:tcMar>
            <w:vAlign w:val="bottom"/>
          </w:tcPr>
          <w:p w14:paraId="5760E3F2"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3120" w:type="dxa"/>
            <w:tcBorders>
              <w:top w:val="nil"/>
              <w:left w:val="nil"/>
              <w:bottom w:val="nil"/>
              <w:right w:val="nil"/>
            </w:tcBorders>
            <w:tcMar>
              <w:top w:w="20" w:type="dxa"/>
              <w:left w:w="20" w:type="dxa"/>
              <w:bottom w:w="20" w:type="dxa"/>
              <w:right w:w="20" w:type="dxa"/>
            </w:tcMar>
            <w:vAlign w:val="bottom"/>
          </w:tcPr>
          <w:p w14:paraId="3B15A53D" w14:textId="77777777"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Outflows of Resources</w:t>
            </w:r>
          </w:p>
        </w:tc>
        <w:tc>
          <w:tcPr>
            <w:tcW w:w="3120" w:type="dxa"/>
            <w:tcBorders>
              <w:top w:val="nil"/>
              <w:left w:val="nil"/>
              <w:bottom w:val="nil"/>
              <w:right w:val="nil"/>
            </w:tcBorders>
            <w:tcMar>
              <w:top w:w="20" w:type="dxa"/>
              <w:left w:w="20" w:type="dxa"/>
              <w:bottom w:w="20" w:type="dxa"/>
              <w:right w:w="20" w:type="dxa"/>
            </w:tcMar>
            <w:vAlign w:val="bottom"/>
          </w:tcPr>
          <w:p w14:paraId="4870E555" w14:textId="77777777"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Inflows of Resources</w:t>
            </w:r>
          </w:p>
        </w:tc>
      </w:tr>
      <w:tr w:rsidR="002A7845" w:rsidRPr="00FC7863" w14:paraId="4EA57C71" w14:textId="77777777" w:rsidTr="00922F57">
        <w:trPr>
          <w:trHeight w:val="70"/>
        </w:trPr>
        <w:tc>
          <w:tcPr>
            <w:tcW w:w="9360" w:type="dxa"/>
            <w:gridSpan w:val="3"/>
            <w:tcBorders>
              <w:top w:val="nil"/>
              <w:left w:val="nil"/>
              <w:bottom w:val="nil"/>
              <w:right w:val="nil"/>
            </w:tcBorders>
            <w:tcMar>
              <w:top w:w="20" w:type="dxa"/>
              <w:left w:w="20" w:type="dxa"/>
              <w:bottom w:w="20" w:type="dxa"/>
              <w:right w:w="20" w:type="dxa"/>
            </w:tcMar>
          </w:tcPr>
          <w:p w14:paraId="5677D7FA"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highlight w:val="yellow"/>
              </w:rPr>
            </w:pPr>
          </w:p>
        </w:tc>
      </w:tr>
      <w:tr w:rsidR="002A7845" w:rsidRPr="00FC7863" w14:paraId="520EA553" w14:textId="77777777">
        <w:tc>
          <w:tcPr>
            <w:tcW w:w="3120" w:type="dxa"/>
            <w:tcBorders>
              <w:top w:val="nil"/>
              <w:left w:val="nil"/>
              <w:bottom w:val="nil"/>
              <w:right w:val="nil"/>
            </w:tcBorders>
            <w:tcMar>
              <w:top w:w="20" w:type="dxa"/>
              <w:left w:w="20" w:type="dxa"/>
              <w:bottom w:w="20" w:type="dxa"/>
              <w:right w:w="20" w:type="dxa"/>
            </w:tcMar>
            <w:vAlign w:val="bottom"/>
          </w:tcPr>
          <w:p w14:paraId="3DA3E719"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Differences between expected </w:t>
            </w:r>
            <w:r w:rsidR="0045208B">
              <w:rPr>
                <w:rFonts w:ascii="Arial" w:hAnsi="Arial" w:cs="Arial"/>
                <w:color w:val="252525"/>
              </w:rPr>
              <w:t xml:space="preserve">        </w:t>
            </w:r>
            <w:r w:rsidRPr="00FC7863">
              <w:rPr>
                <w:rFonts w:ascii="Arial" w:hAnsi="Arial" w:cs="Arial"/>
                <w:color w:val="252525"/>
              </w:rPr>
              <w:t>and actual experience</w:t>
            </w:r>
          </w:p>
        </w:tc>
        <w:tc>
          <w:tcPr>
            <w:tcW w:w="3120" w:type="dxa"/>
            <w:tcBorders>
              <w:top w:val="nil"/>
              <w:left w:val="nil"/>
              <w:bottom w:val="nil"/>
              <w:right w:val="nil"/>
            </w:tcBorders>
            <w:tcMar>
              <w:top w:w="20" w:type="dxa"/>
              <w:left w:w="20" w:type="dxa"/>
              <w:bottom w:w="20" w:type="dxa"/>
              <w:right w:w="20" w:type="dxa"/>
            </w:tcMar>
            <w:vAlign w:val="bottom"/>
          </w:tcPr>
          <w:p w14:paraId="53E58113" w14:textId="77777777" w:rsidR="002A7845" w:rsidRPr="00FC7863" w:rsidRDefault="00F61E87" w:rsidP="000D57C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0D57CA">
              <w:rPr>
                <w:rFonts w:ascii="Arial" w:hAnsi="Arial" w:cs="Arial"/>
                <w:color w:val="252525"/>
                <w:highlight w:val="yellow"/>
              </w:rPr>
              <w:t>X,XXX</w:t>
            </w:r>
          </w:p>
        </w:tc>
        <w:tc>
          <w:tcPr>
            <w:tcW w:w="3120" w:type="dxa"/>
            <w:tcBorders>
              <w:top w:val="nil"/>
              <w:left w:val="nil"/>
              <w:bottom w:val="nil"/>
              <w:right w:val="nil"/>
            </w:tcBorders>
            <w:tcMar>
              <w:top w:w="20" w:type="dxa"/>
              <w:left w:w="20" w:type="dxa"/>
              <w:bottom w:w="20" w:type="dxa"/>
              <w:right w:w="20" w:type="dxa"/>
            </w:tcMar>
            <w:vAlign w:val="bottom"/>
          </w:tcPr>
          <w:p w14:paraId="26958B53" w14:textId="77777777" w:rsidR="002A7845" w:rsidRPr="00FC7863" w:rsidRDefault="00F61E87" w:rsidP="00FC7863">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537E6A">
              <w:rPr>
                <w:rFonts w:ascii="Arial" w:hAnsi="Arial" w:cs="Arial"/>
                <w:color w:val="252525"/>
                <w:highlight w:val="yellow"/>
              </w:rPr>
              <w:t>X,</w:t>
            </w:r>
            <w:r w:rsidR="00D7576E" w:rsidRPr="00FC7863">
              <w:rPr>
                <w:rFonts w:ascii="Arial" w:hAnsi="Arial" w:cs="Arial"/>
                <w:color w:val="252525"/>
                <w:highlight w:val="yellow"/>
              </w:rPr>
              <w:t>XXX</w:t>
            </w:r>
          </w:p>
        </w:tc>
      </w:tr>
      <w:tr w:rsidR="002A7845" w:rsidRPr="00FC7863" w14:paraId="2CF4246D" w14:textId="77777777">
        <w:tc>
          <w:tcPr>
            <w:tcW w:w="3120" w:type="dxa"/>
            <w:tcBorders>
              <w:top w:val="nil"/>
              <w:left w:val="nil"/>
              <w:bottom w:val="nil"/>
              <w:right w:val="nil"/>
            </w:tcBorders>
            <w:tcMar>
              <w:top w:w="20" w:type="dxa"/>
              <w:left w:w="20" w:type="dxa"/>
              <w:bottom w:w="20" w:type="dxa"/>
              <w:right w:w="20" w:type="dxa"/>
            </w:tcMar>
            <w:vAlign w:val="bottom"/>
          </w:tcPr>
          <w:p w14:paraId="16E94782"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Changes of assumptions</w:t>
            </w:r>
          </w:p>
        </w:tc>
        <w:tc>
          <w:tcPr>
            <w:tcW w:w="3120" w:type="dxa"/>
            <w:tcBorders>
              <w:top w:val="nil"/>
              <w:left w:val="nil"/>
              <w:bottom w:val="nil"/>
              <w:right w:val="nil"/>
            </w:tcBorders>
            <w:tcMar>
              <w:top w:w="20" w:type="dxa"/>
              <w:left w:w="20" w:type="dxa"/>
              <w:bottom w:w="20" w:type="dxa"/>
              <w:right w:w="20" w:type="dxa"/>
            </w:tcMar>
            <w:vAlign w:val="bottom"/>
          </w:tcPr>
          <w:p w14:paraId="0E68FE5A" w14:textId="77777777" w:rsidR="002A7845" w:rsidRPr="00FC7863" w:rsidRDefault="00537E6A" w:rsidP="00A64307">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A64307">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14:paraId="6CF2780B" w14:textId="77777777"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D7576E" w:rsidRPr="00FC7863">
              <w:rPr>
                <w:rFonts w:ascii="Arial" w:hAnsi="Arial" w:cs="Arial"/>
                <w:color w:val="252525"/>
                <w:highlight w:val="yellow"/>
              </w:rPr>
              <w:t>XXX</w:t>
            </w:r>
          </w:p>
        </w:tc>
      </w:tr>
      <w:tr w:rsidR="002A7845" w:rsidRPr="00FC7863" w14:paraId="5BCC849A" w14:textId="77777777">
        <w:tc>
          <w:tcPr>
            <w:tcW w:w="3120" w:type="dxa"/>
            <w:tcBorders>
              <w:top w:val="nil"/>
              <w:left w:val="nil"/>
              <w:bottom w:val="nil"/>
              <w:right w:val="nil"/>
            </w:tcBorders>
            <w:tcMar>
              <w:top w:w="20" w:type="dxa"/>
              <w:left w:w="20" w:type="dxa"/>
              <w:bottom w:w="20" w:type="dxa"/>
              <w:right w:w="20" w:type="dxa"/>
            </w:tcMar>
            <w:vAlign w:val="bottom"/>
          </w:tcPr>
          <w:p w14:paraId="2D2628C4"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Net difference between projected and actual earnings on </w:t>
            </w:r>
            <w:r w:rsidR="001A7F3B">
              <w:rPr>
                <w:rFonts w:ascii="Arial" w:hAnsi="Arial" w:cs="Arial"/>
                <w:color w:val="252525"/>
              </w:rPr>
              <w:t>OPEB</w:t>
            </w:r>
            <w:r w:rsidRPr="00FC7863">
              <w:rPr>
                <w:rFonts w:ascii="Arial" w:hAnsi="Arial" w:cs="Arial"/>
                <w:color w:val="252525"/>
              </w:rPr>
              <w:t xml:space="preserve"> plan investments</w:t>
            </w:r>
          </w:p>
        </w:tc>
        <w:tc>
          <w:tcPr>
            <w:tcW w:w="3120" w:type="dxa"/>
            <w:tcBorders>
              <w:top w:val="nil"/>
              <w:left w:val="nil"/>
              <w:bottom w:val="nil"/>
              <w:right w:val="nil"/>
            </w:tcBorders>
            <w:tcMar>
              <w:top w:w="20" w:type="dxa"/>
              <w:left w:w="20" w:type="dxa"/>
              <w:bottom w:w="20" w:type="dxa"/>
              <w:right w:w="20" w:type="dxa"/>
            </w:tcMar>
            <w:vAlign w:val="bottom"/>
          </w:tcPr>
          <w:p w14:paraId="2BF69F67" w14:textId="77777777" w:rsidR="002A7845" w:rsidRPr="00FC7863" w:rsidRDefault="00537E6A" w:rsidP="0045208B">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45208B">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14:paraId="2F4DEEBD" w14:textId="77777777" w:rsidR="002A7845" w:rsidRPr="00FC7863" w:rsidRDefault="000D57CA" w:rsidP="000D57CA">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2316CCF8" w14:textId="77777777">
        <w:tc>
          <w:tcPr>
            <w:tcW w:w="3120" w:type="dxa"/>
            <w:tcBorders>
              <w:top w:val="nil"/>
              <w:left w:val="nil"/>
              <w:bottom w:val="nil"/>
              <w:right w:val="nil"/>
            </w:tcBorders>
            <w:tcMar>
              <w:top w:w="20" w:type="dxa"/>
              <w:left w:w="20" w:type="dxa"/>
              <w:bottom w:w="20" w:type="dxa"/>
              <w:right w:w="20" w:type="dxa"/>
            </w:tcMar>
            <w:vAlign w:val="bottom"/>
          </w:tcPr>
          <w:p w14:paraId="5007EDC6" w14:textId="77777777" w:rsidR="002A7845" w:rsidRPr="00FC7863" w:rsidRDefault="00F61E87" w:rsidP="00546C0B">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Changes in proportion and differences between </w:t>
            </w:r>
            <w:r w:rsidR="00546C0B">
              <w:rPr>
                <w:rFonts w:ascii="Arial" w:hAnsi="Arial" w:cs="Arial"/>
                <w:color w:val="252525"/>
              </w:rPr>
              <w:t>employer</w:t>
            </w:r>
            <w:r w:rsidRPr="00FC7863">
              <w:rPr>
                <w:rFonts w:ascii="Arial" w:hAnsi="Arial" w:cs="Arial"/>
                <w:color w:val="252525"/>
              </w:rPr>
              <w:t xml:space="preserve"> contributions and proportionate share of contributions</w:t>
            </w:r>
          </w:p>
        </w:tc>
        <w:tc>
          <w:tcPr>
            <w:tcW w:w="3120" w:type="dxa"/>
            <w:tcBorders>
              <w:top w:val="nil"/>
              <w:left w:val="nil"/>
              <w:bottom w:val="nil"/>
              <w:right w:val="nil"/>
            </w:tcBorders>
            <w:tcMar>
              <w:top w:w="20" w:type="dxa"/>
              <w:left w:w="20" w:type="dxa"/>
              <w:bottom w:w="20" w:type="dxa"/>
              <w:right w:w="20" w:type="dxa"/>
            </w:tcMar>
            <w:vAlign w:val="bottom"/>
          </w:tcPr>
          <w:p w14:paraId="5B3998FF" w14:textId="77777777"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D7576E" w:rsidRPr="00FC7863">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14:paraId="4BAF6732" w14:textId="77777777"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CF596C" w:rsidRPr="00FC7863">
              <w:rPr>
                <w:rFonts w:ascii="Arial" w:hAnsi="Arial" w:cs="Arial"/>
                <w:color w:val="252525"/>
                <w:highlight w:val="yellow"/>
              </w:rPr>
              <w:t>XXX</w:t>
            </w:r>
          </w:p>
        </w:tc>
      </w:tr>
      <w:tr w:rsidR="002A7845" w:rsidRPr="00FC7863" w14:paraId="588ECDAA" w14:textId="77777777">
        <w:tc>
          <w:tcPr>
            <w:tcW w:w="3120" w:type="dxa"/>
            <w:tcBorders>
              <w:top w:val="nil"/>
              <w:left w:val="nil"/>
              <w:bottom w:val="nil"/>
              <w:right w:val="nil"/>
            </w:tcBorders>
            <w:tcMar>
              <w:top w:w="20" w:type="dxa"/>
              <w:left w:w="20" w:type="dxa"/>
              <w:bottom w:w="20" w:type="dxa"/>
              <w:right w:w="20" w:type="dxa"/>
            </w:tcMar>
            <w:vAlign w:val="bottom"/>
          </w:tcPr>
          <w:p w14:paraId="3CC21DD6" w14:textId="77777777" w:rsidR="002A7845" w:rsidRPr="00FC7863" w:rsidRDefault="00546C0B" w:rsidP="00546C0B">
            <w:pPr>
              <w:widowControl w:val="0"/>
              <w:suppressAutoHyphens/>
              <w:autoSpaceDE w:val="0"/>
              <w:autoSpaceDN w:val="0"/>
              <w:adjustRightInd w:val="0"/>
              <w:spacing w:after="0" w:line="240" w:lineRule="auto"/>
              <w:rPr>
                <w:rFonts w:ascii="Arial" w:hAnsi="Arial" w:cs="Arial"/>
                <w:color w:val="FF0000"/>
              </w:rPr>
            </w:pPr>
            <w:r>
              <w:rPr>
                <w:rFonts w:ascii="Arial" w:hAnsi="Arial" w:cs="Arial"/>
                <w:color w:val="252525"/>
              </w:rPr>
              <w:t>Employer</w:t>
            </w:r>
            <w:r w:rsidR="00F61E87" w:rsidRPr="00FC7863">
              <w:rPr>
                <w:rFonts w:ascii="Arial" w:hAnsi="Arial" w:cs="Arial"/>
                <w:color w:val="252525"/>
              </w:rPr>
              <w:t xml:space="preserve"> contributions subsequent to the measurement date</w:t>
            </w:r>
            <w:r w:rsidR="00CF596C" w:rsidRPr="00FC7863">
              <w:rPr>
                <w:rFonts w:ascii="Arial" w:hAnsi="Arial" w:cs="Arial"/>
                <w:color w:val="252525"/>
              </w:rPr>
              <w:t xml:space="preserve"> </w:t>
            </w:r>
            <w:r w:rsidR="00537E6A" w:rsidRPr="00537E6A">
              <w:rPr>
                <w:rFonts w:ascii="Arial" w:hAnsi="Arial" w:cs="Arial"/>
                <w:color w:val="808080" w:themeColor="background1" w:themeShade="80"/>
                <w:highlight w:val="yellow"/>
              </w:rPr>
              <w:t>(</w:t>
            </w:r>
            <w:r w:rsidR="00CF596C" w:rsidRPr="00537E6A">
              <w:rPr>
                <w:rFonts w:ascii="Arial" w:hAnsi="Arial" w:cs="Arial"/>
                <w:color w:val="808080" w:themeColor="background1" w:themeShade="80"/>
                <w:highlight w:val="yellow"/>
              </w:rPr>
              <w:t>see below</w:t>
            </w:r>
            <w:r w:rsidR="00537E6A" w:rsidRPr="00537E6A">
              <w:rPr>
                <w:rFonts w:ascii="Arial" w:hAnsi="Arial" w:cs="Arial"/>
                <w:color w:val="808080" w:themeColor="background1" w:themeShade="80"/>
                <w:highlight w:val="yellow"/>
              </w:rPr>
              <w:t>)</w:t>
            </w:r>
          </w:p>
        </w:tc>
        <w:tc>
          <w:tcPr>
            <w:tcW w:w="3120" w:type="dxa"/>
            <w:tcBorders>
              <w:top w:val="nil"/>
              <w:left w:val="nil"/>
              <w:bottom w:val="nil"/>
              <w:right w:val="nil"/>
            </w:tcBorders>
            <w:tcMar>
              <w:top w:w="20" w:type="dxa"/>
              <w:left w:w="20" w:type="dxa"/>
              <w:bottom w:w="20" w:type="dxa"/>
              <w:right w:w="20" w:type="dxa"/>
            </w:tcMar>
            <w:vAlign w:val="bottom"/>
          </w:tcPr>
          <w:p w14:paraId="7DFF691D" w14:textId="77777777" w:rsidR="002A7845" w:rsidRPr="00FC7863" w:rsidRDefault="00922F57" w:rsidP="00922F57">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w:t>
            </w:r>
          </w:p>
        </w:tc>
        <w:tc>
          <w:tcPr>
            <w:tcW w:w="3120" w:type="dxa"/>
            <w:tcBorders>
              <w:top w:val="nil"/>
              <w:left w:val="nil"/>
              <w:bottom w:val="nil"/>
              <w:right w:val="nil"/>
            </w:tcBorders>
            <w:tcMar>
              <w:top w:w="20" w:type="dxa"/>
              <w:left w:w="20" w:type="dxa"/>
              <w:bottom w:w="20" w:type="dxa"/>
              <w:right w:w="20" w:type="dxa"/>
            </w:tcMar>
            <w:vAlign w:val="bottom"/>
          </w:tcPr>
          <w:p w14:paraId="4A707D96" w14:textId="77777777" w:rsidR="002A7845" w:rsidRPr="00FC7863" w:rsidRDefault="00FD2F7D" w:rsidP="00FD2F7D">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 xml:space="preserve">          -</w:t>
            </w:r>
          </w:p>
        </w:tc>
      </w:tr>
      <w:tr w:rsidR="002A7845" w:rsidRPr="00FC7863" w14:paraId="4D245A67" w14:textId="77777777">
        <w:tc>
          <w:tcPr>
            <w:tcW w:w="3120" w:type="dxa"/>
            <w:tcBorders>
              <w:top w:val="nil"/>
              <w:left w:val="nil"/>
              <w:bottom w:val="nil"/>
              <w:right w:val="nil"/>
            </w:tcBorders>
            <w:tcMar>
              <w:top w:w="20" w:type="dxa"/>
              <w:left w:w="20" w:type="dxa"/>
              <w:bottom w:w="20" w:type="dxa"/>
              <w:right w:w="20" w:type="dxa"/>
            </w:tcMar>
            <w:vAlign w:val="bottom"/>
          </w:tcPr>
          <w:p w14:paraId="7974DB5B"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      Total</w:t>
            </w:r>
          </w:p>
        </w:tc>
        <w:tc>
          <w:tcPr>
            <w:tcW w:w="3120" w:type="dxa"/>
            <w:tcBorders>
              <w:top w:val="nil"/>
              <w:left w:val="nil"/>
              <w:bottom w:val="nil"/>
              <w:right w:val="nil"/>
            </w:tcBorders>
            <w:tcMar>
              <w:top w:w="20" w:type="dxa"/>
              <w:left w:w="20" w:type="dxa"/>
              <w:bottom w:w="20" w:type="dxa"/>
              <w:right w:w="20" w:type="dxa"/>
            </w:tcMar>
            <w:vAlign w:val="bottom"/>
          </w:tcPr>
          <w:p w14:paraId="131021C8" w14:textId="77777777" w:rsidR="002A7845" w:rsidRPr="00FC7863" w:rsidRDefault="00CF596C" w:rsidP="007B6790">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 xml:space="preserve"> </w:t>
            </w:r>
            <w:r w:rsidR="007B6790">
              <w:rPr>
                <w:rFonts w:ascii="Arial" w:hAnsi="Arial" w:cs="Arial"/>
                <w:color w:val="252525"/>
                <w:highlight w:val="yellow"/>
                <w:u w:val="single"/>
              </w:rPr>
              <w:t>*</w:t>
            </w:r>
            <w:r w:rsidRPr="00FC7863">
              <w:rPr>
                <w:rFonts w:ascii="Arial" w:hAnsi="Arial" w:cs="Arial"/>
                <w:color w:val="252525"/>
                <w:highlight w:val="yellow"/>
                <w:u w:val="single"/>
              </w:rPr>
              <w:t>$ X,XXX</w:t>
            </w:r>
            <w:r w:rsidR="00F61E87" w:rsidRPr="00FC7863">
              <w:rPr>
                <w:rFonts w:ascii="Arial" w:hAnsi="Arial" w:cs="Arial"/>
                <w:color w:val="252525"/>
                <w:highlight w:val="yellow"/>
                <w:u w:val="single"/>
              </w:rPr>
              <w:t xml:space="preserve"> </w:t>
            </w:r>
          </w:p>
        </w:tc>
        <w:tc>
          <w:tcPr>
            <w:tcW w:w="3120" w:type="dxa"/>
            <w:tcBorders>
              <w:top w:val="nil"/>
              <w:left w:val="nil"/>
              <w:bottom w:val="nil"/>
              <w:right w:val="nil"/>
            </w:tcBorders>
            <w:tcMar>
              <w:top w:w="20" w:type="dxa"/>
              <w:left w:w="20" w:type="dxa"/>
              <w:bottom w:w="20" w:type="dxa"/>
              <w:right w:w="20" w:type="dxa"/>
            </w:tcMar>
            <w:vAlign w:val="bottom"/>
          </w:tcPr>
          <w:p w14:paraId="6CECA289" w14:textId="77777777" w:rsidR="002A7845" w:rsidRPr="00FC7863" w:rsidRDefault="00CF596C" w:rsidP="000D57C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w:t>
            </w:r>
            <w:r w:rsidR="000D57CA">
              <w:rPr>
                <w:rFonts w:ascii="Arial" w:hAnsi="Arial" w:cs="Arial"/>
                <w:color w:val="252525"/>
                <w:highlight w:val="yellow"/>
                <w:u w:val="single"/>
              </w:rPr>
              <w:t>X,XXX</w:t>
            </w:r>
            <w:r w:rsidR="00F61E87" w:rsidRPr="00FC7863">
              <w:rPr>
                <w:rFonts w:ascii="Arial" w:hAnsi="Arial" w:cs="Arial"/>
                <w:color w:val="252525"/>
                <w:highlight w:val="yellow"/>
                <w:u w:val="single"/>
              </w:rPr>
              <w:t xml:space="preserve"> </w:t>
            </w:r>
          </w:p>
        </w:tc>
      </w:tr>
      <w:tr w:rsidR="005C25A1" w:rsidRPr="00FC7863" w14:paraId="3B37221F" w14:textId="77777777">
        <w:tc>
          <w:tcPr>
            <w:tcW w:w="3120" w:type="dxa"/>
            <w:tcBorders>
              <w:top w:val="nil"/>
              <w:left w:val="nil"/>
              <w:bottom w:val="nil"/>
              <w:right w:val="nil"/>
            </w:tcBorders>
            <w:tcMar>
              <w:top w:w="20" w:type="dxa"/>
              <w:left w:w="20" w:type="dxa"/>
              <w:bottom w:w="20" w:type="dxa"/>
              <w:right w:w="20" w:type="dxa"/>
            </w:tcMar>
            <w:vAlign w:val="bottom"/>
          </w:tcPr>
          <w:p w14:paraId="06AD0C58" w14:textId="77777777" w:rsidR="005C25A1" w:rsidRPr="00FC7863" w:rsidRDefault="005C25A1"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14:paraId="37BF472A" w14:textId="77777777" w:rsidR="005C25A1" w:rsidRPr="007B6790" w:rsidRDefault="005C25A1" w:rsidP="005C25A1">
            <w:pPr>
              <w:widowControl w:val="0"/>
              <w:suppressAutoHyphens/>
              <w:autoSpaceDE w:val="0"/>
              <w:autoSpaceDN w:val="0"/>
              <w:adjustRightInd w:val="0"/>
              <w:spacing w:after="0" w:line="240" w:lineRule="auto"/>
              <w:jc w:val="right"/>
              <w:rPr>
                <w:rFonts w:ascii="Arial" w:hAnsi="Arial" w:cs="Arial"/>
                <w:color w:val="252525"/>
                <w:sz w:val="18"/>
                <w:szCs w:val="18"/>
              </w:rPr>
            </w:pPr>
          </w:p>
        </w:tc>
        <w:tc>
          <w:tcPr>
            <w:tcW w:w="3120" w:type="dxa"/>
            <w:tcBorders>
              <w:top w:val="nil"/>
              <w:left w:val="nil"/>
              <w:bottom w:val="nil"/>
              <w:right w:val="nil"/>
            </w:tcBorders>
            <w:tcMar>
              <w:top w:w="20" w:type="dxa"/>
              <w:left w:w="20" w:type="dxa"/>
              <w:bottom w:w="20" w:type="dxa"/>
              <w:right w:w="20" w:type="dxa"/>
            </w:tcMar>
            <w:vAlign w:val="bottom"/>
          </w:tcPr>
          <w:p w14:paraId="4019DCC4" w14:textId="77777777" w:rsidR="005C25A1" w:rsidRPr="005C25A1" w:rsidRDefault="005C25A1" w:rsidP="00537E6A">
            <w:pPr>
              <w:widowControl w:val="0"/>
              <w:suppressAutoHyphens/>
              <w:autoSpaceDE w:val="0"/>
              <w:autoSpaceDN w:val="0"/>
              <w:adjustRightInd w:val="0"/>
              <w:spacing w:after="0" w:line="240" w:lineRule="auto"/>
              <w:jc w:val="right"/>
              <w:rPr>
                <w:rFonts w:ascii="Arial" w:hAnsi="Arial" w:cs="Arial"/>
                <w:color w:val="252525"/>
              </w:rPr>
            </w:pPr>
          </w:p>
        </w:tc>
      </w:tr>
      <w:tr w:rsidR="005C25A1" w:rsidRPr="00FC7863" w14:paraId="54A02A49" w14:textId="77777777">
        <w:tc>
          <w:tcPr>
            <w:tcW w:w="3120" w:type="dxa"/>
            <w:tcBorders>
              <w:top w:val="nil"/>
              <w:left w:val="nil"/>
              <w:bottom w:val="nil"/>
              <w:right w:val="nil"/>
            </w:tcBorders>
            <w:tcMar>
              <w:top w:w="20" w:type="dxa"/>
              <w:left w:w="20" w:type="dxa"/>
              <w:bottom w:w="20" w:type="dxa"/>
              <w:right w:w="20" w:type="dxa"/>
            </w:tcMar>
            <w:vAlign w:val="bottom"/>
          </w:tcPr>
          <w:p w14:paraId="4D24CDB6" w14:textId="77777777" w:rsidR="005C25A1" w:rsidRPr="00FC7863" w:rsidRDefault="005C25A1"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14:paraId="17F49FC7" w14:textId="77777777" w:rsidR="005C25A1" w:rsidRPr="00FC7863" w:rsidRDefault="005C25A1" w:rsidP="00FC7863">
            <w:pPr>
              <w:widowControl w:val="0"/>
              <w:suppressAutoHyphens/>
              <w:autoSpaceDE w:val="0"/>
              <w:autoSpaceDN w:val="0"/>
              <w:adjustRightInd w:val="0"/>
              <w:spacing w:after="0" w:line="240" w:lineRule="auto"/>
              <w:jc w:val="right"/>
              <w:rPr>
                <w:rFonts w:ascii="Arial" w:hAnsi="Arial" w:cs="Arial"/>
                <w:color w:val="252525"/>
                <w:highlight w:val="yellow"/>
                <w:u w:val="single"/>
              </w:rPr>
            </w:pPr>
          </w:p>
        </w:tc>
        <w:tc>
          <w:tcPr>
            <w:tcW w:w="3120" w:type="dxa"/>
            <w:tcBorders>
              <w:top w:val="nil"/>
              <w:left w:val="nil"/>
              <w:bottom w:val="nil"/>
              <w:right w:val="nil"/>
            </w:tcBorders>
            <w:tcMar>
              <w:top w:w="20" w:type="dxa"/>
              <w:left w:w="20" w:type="dxa"/>
              <w:bottom w:w="20" w:type="dxa"/>
              <w:right w:w="20" w:type="dxa"/>
            </w:tcMar>
            <w:vAlign w:val="bottom"/>
          </w:tcPr>
          <w:p w14:paraId="1EA254E9" w14:textId="77777777" w:rsidR="005C25A1" w:rsidRPr="00FC7863" w:rsidRDefault="005C25A1" w:rsidP="005C25A1">
            <w:pPr>
              <w:widowControl w:val="0"/>
              <w:suppressAutoHyphens/>
              <w:autoSpaceDE w:val="0"/>
              <w:autoSpaceDN w:val="0"/>
              <w:adjustRightInd w:val="0"/>
              <w:spacing w:after="0" w:line="240" w:lineRule="auto"/>
              <w:rPr>
                <w:rFonts w:ascii="Arial" w:hAnsi="Arial" w:cs="Arial"/>
                <w:color w:val="252525"/>
                <w:highlight w:val="yellow"/>
                <w:u w:val="single"/>
              </w:rPr>
            </w:pPr>
          </w:p>
        </w:tc>
      </w:tr>
    </w:tbl>
    <w:p w14:paraId="1F8322D7" w14:textId="77777777" w:rsidR="005712C9" w:rsidRDefault="00F61E87" w:rsidP="00716AA9">
      <w:pPr>
        <w:widowControl w:val="0"/>
        <w:suppressAutoHyphens/>
        <w:autoSpaceDE w:val="0"/>
        <w:autoSpaceDN w:val="0"/>
        <w:adjustRightInd w:val="0"/>
        <w:spacing w:after="0" w:line="240" w:lineRule="auto"/>
        <w:jc w:val="both"/>
        <w:rPr>
          <w:rFonts w:ascii="Arial" w:hAnsi="Arial" w:cs="Arial"/>
          <w:color w:val="FF0000"/>
        </w:rPr>
      </w:pPr>
      <w:r w:rsidRPr="00FC7863">
        <w:rPr>
          <w:rFonts w:ascii="Arial" w:hAnsi="Arial" w:cs="Arial"/>
          <w:color w:val="252525"/>
          <w:highlight w:val="yellow"/>
        </w:rPr>
        <w:t>$</w:t>
      </w:r>
      <w:r w:rsidR="00922F57">
        <w:rPr>
          <w:rFonts w:ascii="Arial" w:hAnsi="Arial" w:cs="Arial"/>
          <w:color w:val="252525"/>
          <w:highlight w:val="yellow"/>
        </w:rPr>
        <w:t>*,***</w:t>
      </w:r>
      <w:r w:rsidR="00CF596C" w:rsidRPr="00FC7863">
        <w:rPr>
          <w:rFonts w:ascii="Arial" w:hAnsi="Arial" w:cs="Arial"/>
          <w:color w:val="252525"/>
        </w:rPr>
        <w:t xml:space="preserve"> </w:t>
      </w:r>
      <w:r w:rsidRPr="00FC7863">
        <w:rPr>
          <w:rFonts w:ascii="Arial" w:hAnsi="Arial" w:cs="Arial"/>
          <w:color w:val="252525"/>
        </w:rPr>
        <w:t xml:space="preserve">reported as deferred outflows of resources related to </w:t>
      </w:r>
      <w:r w:rsidR="001A7F3B">
        <w:rPr>
          <w:rFonts w:ascii="Arial" w:hAnsi="Arial" w:cs="Arial"/>
          <w:color w:val="252525"/>
        </w:rPr>
        <w:t>OPEB</w:t>
      </w:r>
      <w:r w:rsidRPr="00FC7863">
        <w:rPr>
          <w:rFonts w:ascii="Arial" w:hAnsi="Arial" w:cs="Arial"/>
          <w:color w:val="252525"/>
        </w:rPr>
        <w:t xml:space="preserve"> resulting from </w:t>
      </w:r>
      <w:r w:rsidR="00546C0B">
        <w:rPr>
          <w:rFonts w:ascii="Arial" w:hAnsi="Arial" w:cs="Arial"/>
          <w:color w:val="252525"/>
        </w:rPr>
        <w:t>Employer</w:t>
      </w:r>
      <w:r w:rsidRPr="00FC7863">
        <w:rPr>
          <w:rFonts w:ascii="Arial" w:hAnsi="Arial" w:cs="Arial"/>
          <w:color w:val="252525"/>
        </w:rPr>
        <w:t xml:space="preserve"> contributions subsequent to the measurement date will be recognized as a reduction of the net </w:t>
      </w:r>
      <w:r w:rsidR="001A7F3B">
        <w:rPr>
          <w:rFonts w:ascii="Arial" w:hAnsi="Arial" w:cs="Arial"/>
          <w:color w:val="252525"/>
        </w:rPr>
        <w:t>OPEB</w:t>
      </w:r>
      <w:r w:rsidRPr="00FC7863">
        <w:rPr>
          <w:rFonts w:ascii="Arial" w:hAnsi="Arial" w:cs="Arial"/>
          <w:color w:val="252525"/>
        </w:rPr>
        <w:t xml:space="preserve"> liability in the year ended </w:t>
      </w:r>
      <w:r w:rsidR="000D57CA">
        <w:rPr>
          <w:rFonts w:ascii="Arial" w:hAnsi="Arial" w:cs="Arial"/>
          <w:color w:val="000000" w:themeColor="text1"/>
          <w:highlight w:val="yellow"/>
        </w:rPr>
        <w:t>mm/dd/yyyy</w:t>
      </w:r>
      <w:r w:rsidRPr="00FC7863">
        <w:rPr>
          <w:rFonts w:ascii="Arial" w:hAnsi="Arial" w:cs="Arial"/>
          <w:color w:val="252525"/>
        </w:rPr>
        <w:t xml:space="preserve"> </w:t>
      </w:r>
      <w:r w:rsidR="00FC7863">
        <w:rPr>
          <w:rFonts w:ascii="Arial" w:hAnsi="Arial" w:cs="Arial"/>
          <w:color w:val="FF0000"/>
        </w:rPr>
        <w:t>(</w:t>
      </w:r>
      <w:r w:rsidR="00FD2F7D">
        <w:rPr>
          <w:rFonts w:ascii="Arial" w:hAnsi="Arial" w:cs="Arial"/>
          <w:color w:val="FF0000"/>
        </w:rPr>
        <w:t>employer</w:t>
      </w:r>
      <w:r w:rsidR="00FC7863">
        <w:rPr>
          <w:rFonts w:ascii="Arial" w:hAnsi="Arial" w:cs="Arial"/>
          <w:color w:val="FF0000"/>
        </w:rPr>
        <w:t>’s</w:t>
      </w:r>
      <w:r w:rsidR="00FD2F7D">
        <w:rPr>
          <w:rFonts w:ascii="Arial" w:hAnsi="Arial" w:cs="Arial"/>
          <w:color w:val="FF0000"/>
        </w:rPr>
        <w:t xml:space="preserve"> subsequent</w:t>
      </w:r>
      <w:r w:rsidR="00FC7863">
        <w:rPr>
          <w:rFonts w:ascii="Arial" w:hAnsi="Arial" w:cs="Arial"/>
          <w:color w:val="FF0000"/>
        </w:rPr>
        <w:t xml:space="preserve"> fiscal year-end)</w:t>
      </w:r>
      <w:r w:rsidR="00FD2F7D">
        <w:rPr>
          <w:rFonts w:ascii="Arial" w:hAnsi="Arial" w:cs="Arial"/>
          <w:color w:val="FF0000"/>
        </w:rPr>
        <w:t>.</w:t>
      </w:r>
      <w:r w:rsidR="00FC7863" w:rsidRPr="00FC7863">
        <w:rPr>
          <w:rFonts w:ascii="Arial" w:hAnsi="Arial" w:cs="Arial"/>
          <w:color w:val="FF0000"/>
        </w:rPr>
        <w:t xml:space="preserve"> </w:t>
      </w:r>
      <w:r w:rsidR="00CF596C" w:rsidRPr="00FC7863">
        <w:rPr>
          <w:rFonts w:ascii="Arial" w:hAnsi="Arial" w:cs="Arial"/>
          <w:color w:val="A6A6A6" w:themeColor="background1" w:themeShade="A6"/>
        </w:rPr>
        <w:t xml:space="preserve">(Because </w:t>
      </w:r>
      <w:r w:rsidR="005A3AE8" w:rsidRPr="00FC7863">
        <w:rPr>
          <w:rFonts w:ascii="Arial" w:hAnsi="Arial" w:cs="Arial"/>
          <w:color w:val="A6A6A6" w:themeColor="background1" w:themeShade="A6"/>
        </w:rPr>
        <w:t>valuation</w:t>
      </w:r>
      <w:r w:rsidR="00FD2F7D">
        <w:rPr>
          <w:rFonts w:ascii="Arial" w:hAnsi="Arial" w:cs="Arial"/>
          <w:color w:val="A6A6A6" w:themeColor="background1" w:themeShade="A6"/>
        </w:rPr>
        <w:t>/measurement</w:t>
      </w:r>
      <w:r w:rsidR="00CF596C" w:rsidRPr="00FC7863">
        <w:rPr>
          <w:rFonts w:ascii="Arial" w:hAnsi="Arial" w:cs="Arial"/>
          <w:color w:val="A6A6A6" w:themeColor="background1" w:themeShade="A6"/>
        </w:rPr>
        <w:t xml:space="preserve"> date will </w:t>
      </w:r>
      <w:r w:rsidR="005A3AE8" w:rsidRPr="00FC7863">
        <w:rPr>
          <w:rFonts w:ascii="Arial" w:hAnsi="Arial" w:cs="Arial"/>
          <w:color w:val="A6A6A6" w:themeColor="background1" w:themeShade="A6"/>
        </w:rPr>
        <w:t>generally</w:t>
      </w:r>
      <w:r w:rsidR="00CF596C" w:rsidRPr="00FC7863">
        <w:rPr>
          <w:rFonts w:ascii="Arial" w:hAnsi="Arial" w:cs="Arial"/>
          <w:color w:val="A6A6A6" w:themeColor="background1" w:themeShade="A6"/>
        </w:rPr>
        <w:t xml:space="preserve"> be one year prior to employers’ </w:t>
      </w:r>
      <w:r w:rsidR="00FD2F7D">
        <w:rPr>
          <w:rFonts w:ascii="Arial" w:hAnsi="Arial" w:cs="Arial"/>
          <w:color w:val="A6A6A6" w:themeColor="background1" w:themeShade="A6"/>
        </w:rPr>
        <w:t>fiscal year end</w:t>
      </w:r>
      <w:r w:rsidR="00CF596C" w:rsidRPr="00FC7863">
        <w:rPr>
          <w:rFonts w:ascii="Arial" w:hAnsi="Arial" w:cs="Arial"/>
          <w:color w:val="A6A6A6" w:themeColor="background1" w:themeShade="A6"/>
        </w:rPr>
        <w:t xml:space="preserve">, this amount will be the actual </w:t>
      </w:r>
      <w:r w:rsidR="00FD2F7D">
        <w:rPr>
          <w:rFonts w:ascii="Arial" w:hAnsi="Arial" w:cs="Arial"/>
          <w:color w:val="A6A6A6" w:themeColor="background1" w:themeShade="A6"/>
        </w:rPr>
        <w:t xml:space="preserve">employer </w:t>
      </w:r>
      <w:r w:rsidR="00CF596C" w:rsidRPr="00FC7863">
        <w:rPr>
          <w:rFonts w:ascii="Arial" w:hAnsi="Arial" w:cs="Arial"/>
          <w:color w:val="A6A6A6" w:themeColor="background1" w:themeShade="A6"/>
        </w:rPr>
        <w:t>contributions</w:t>
      </w:r>
      <w:r w:rsidR="00546C0B">
        <w:rPr>
          <w:rFonts w:ascii="Arial" w:hAnsi="Arial" w:cs="Arial"/>
          <w:color w:val="A6A6A6" w:themeColor="background1" w:themeShade="A6"/>
        </w:rPr>
        <w:t xml:space="preserve"> </w:t>
      </w:r>
      <w:r w:rsidR="00546C0B" w:rsidRPr="0042340F">
        <w:rPr>
          <w:rFonts w:ascii="Arial" w:hAnsi="Arial" w:cs="Arial"/>
          <w:b/>
          <w:color w:val="A6A6A6" w:themeColor="background1" w:themeShade="A6"/>
        </w:rPr>
        <w:t>(do not include</w:t>
      </w:r>
      <w:r w:rsidR="007B6790" w:rsidRPr="0042340F">
        <w:rPr>
          <w:rFonts w:ascii="Arial" w:hAnsi="Arial" w:cs="Arial"/>
          <w:b/>
          <w:color w:val="A6A6A6" w:themeColor="background1" w:themeShade="A6"/>
        </w:rPr>
        <w:t xml:space="preserve"> employer paid</w:t>
      </w:r>
      <w:r w:rsidR="00546C0B" w:rsidRPr="0042340F">
        <w:rPr>
          <w:rFonts w:ascii="Arial" w:hAnsi="Arial" w:cs="Arial"/>
          <w:b/>
          <w:color w:val="A6A6A6" w:themeColor="background1" w:themeShade="A6"/>
        </w:rPr>
        <w:t xml:space="preserve"> member contributions)</w:t>
      </w:r>
      <w:r w:rsidR="00CF596C" w:rsidRPr="00FC7863">
        <w:rPr>
          <w:rFonts w:ascii="Arial" w:hAnsi="Arial" w:cs="Arial"/>
          <w:color w:val="A6A6A6" w:themeColor="background1" w:themeShade="A6"/>
        </w:rPr>
        <w:t xml:space="preserve"> paid during the </w:t>
      </w:r>
      <w:r w:rsidR="00FD2F7D">
        <w:rPr>
          <w:rFonts w:ascii="Arial" w:hAnsi="Arial" w:cs="Arial"/>
          <w:color w:val="A6A6A6" w:themeColor="background1" w:themeShade="A6"/>
        </w:rPr>
        <w:t>fisc</w:t>
      </w:r>
      <w:r w:rsidR="00CF596C" w:rsidRPr="00FC7863">
        <w:rPr>
          <w:rFonts w:ascii="Arial" w:hAnsi="Arial" w:cs="Arial"/>
          <w:color w:val="A6A6A6" w:themeColor="background1" w:themeShade="A6"/>
        </w:rPr>
        <w:t>al year</w:t>
      </w:r>
      <w:r w:rsidR="00537E6A">
        <w:rPr>
          <w:rFonts w:ascii="Arial" w:hAnsi="Arial" w:cs="Arial"/>
          <w:color w:val="A6A6A6" w:themeColor="background1" w:themeShade="A6"/>
        </w:rPr>
        <w:t xml:space="preserve"> </w:t>
      </w:r>
      <w:r w:rsidR="00FD2F7D">
        <w:rPr>
          <w:rFonts w:ascii="Arial" w:hAnsi="Arial" w:cs="Arial"/>
          <w:color w:val="A6A6A6" w:themeColor="background1" w:themeShade="A6"/>
        </w:rPr>
        <w:t>for which</w:t>
      </w:r>
      <w:r w:rsidR="00546C0B">
        <w:rPr>
          <w:rFonts w:ascii="Arial" w:hAnsi="Arial" w:cs="Arial"/>
          <w:color w:val="A6A6A6" w:themeColor="background1" w:themeShade="A6"/>
        </w:rPr>
        <w:t xml:space="preserve"> </w:t>
      </w:r>
      <w:r w:rsidR="00FD2F7D">
        <w:rPr>
          <w:rFonts w:ascii="Arial" w:hAnsi="Arial" w:cs="Arial"/>
          <w:color w:val="A6A6A6" w:themeColor="background1" w:themeShade="A6"/>
        </w:rPr>
        <w:t>this disclosure applies</w:t>
      </w:r>
      <w:r w:rsidR="00546C0B">
        <w:rPr>
          <w:rFonts w:ascii="Arial" w:hAnsi="Arial" w:cs="Arial"/>
          <w:color w:val="A6A6A6" w:themeColor="background1" w:themeShade="A6"/>
        </w:rPr>
        <w:t xml:space="preserve"> - </w:t>
      </w:r>
      <w:r w:rsidR="004A5CC4" w:rsidRPr="00FC7863">
        <w:rPr>
          <w:rFonts w:ascii="Arial" w:hAnsi="Arial" w:cs="Arial"/>
          <w:color w:val="A6A6A6" w:themeColor="background1" w:themeShade="A6"/>
        </w:rPr>
        <w:t>employers’ responsibility to calculate</w:t>
      </w:r>
      <w:r w:rsidR="00CF596C" w:rsidRPr="00FC7863">
        <w:rPr>
          <w:rFonts w:ascii="Arial" w:hAnsi="Arial" w:cs="Arial"/>
          <w:color w:val="A6A6A6" w:themeColor="background1" w:themeShade="A6"/>
        </w:rPr>
        <w:t>).</w:t>
      </w:r>
      <w:r w:rsidR="00CF596C" w:rsidRPr="00FC7863">
        <w:rPr>
          <w:rFonts w:ascii="Arial" w:hAnsi="Arial" w:cs="Arial"/>
          <w:color w:val="FF0000"/>
        </w:rPr>
        <w:t xml:space="preserve"> </w:t>
      </w:r>
    </w:p>
    <w:p w14:paraId="04DC504D" w14:textId="77777777" w:rsidR="005712C9" w:rsidRDefault="005712C9" w:rsidP="00716AA9">
      <w:pPr>
        <w:widowControl w:val="0"/>
        <w:suppressAutoHyphens/>
        <w:autoSpaceDE w:val="0"/>
        <w:autoSpaceDN w:val="0"/>
        <w:adjustRightInd w:val="0"/>
        <w:spacing w:after="0" w:line="240" w:lineRule="auto"/>
        <w:jc w:val="both"/>
        <w:rPr>
          <w:rFonts w:ascii="Arial" w:hAnsi="Arial" w:cs="Arial"/>
          <w:color w:val="FF0000"/>
        </w:rPr>
      </w:pPr>
    </w:p>
    <w:p w14:paraId="1301444F" w14:textId="77777777" w:rsidR="002A7845" w:rsidRPr="002875B3"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color w:val="252525"/>
        </w:rPr>
        <w:t xml:space="preserve">Other amounts reported as deferred outflows of resources and deferred inflows of resources related to </w:t>
      </w:r>
      <w:r w:rsidR="00951F49">
        <w:rPr>
          <w:rFonts w:ascii="Arial" w:hAnsi="Arial" w:cs="Arial"/>
          <w:color w:val="252525"/>
        </w:rPr>
        <w:t>OPEB</w:t>
      </w:r>
      <w:r w:rsidRPr="00FC7863">
        <w:rPr>
          <w:rFonts w:ascii="Arial" w:hAnsi="Arial" w:cs="Arial"/>
          <w:color w:val="252525"/>
        </w:rPr>
        <w:t xml:space="preserve">s will be recognized in </w:t>
      </w:r>
      <w:r w:rsidR="001A7F3B">
        <w:rPr>
          <w:rFonts w:ascii="Arial" w:hAnsi="Arial" w:cs="Arial"/>
          <w:color w:val="252525"/>
        </w:rPr>
        <w:t>OPEB</w:t>
      </w:r>
      <w:r w:rsidRPr="00FC7863">
        <w:rPr>
          <w:rFonts w:ascii="Arial" w:hAnsi="Arial" w:cs="Arial"/>
          <w:color w:val="252525"/>
        </w:rPr>
        <w:t xml:space="preserve"> expense as </w:t>
      </w:r>
      <w:r w:rsidRPr="005712C9">
        <w:rPr>
          <w:rFonts w:ascii="Arial" w:hAnsi="Arial" w:cs="Arial"/>
          <w:color w:val="252525"/>
        </w:rPr>
        <w:t>follows</w:t>
      </w:r>
      <w:r w:rsidR="00CF596C" w:rsidRPr="005712C9">
        <w:rPr>
          <w:rFonts w:ascii="Arial" w:hAnsi="Arial" w:cs="Arial"/>
          <w:color w:val="252525"/>
        </w:rPr>
        <w:t xml:space="preserve"> </w:t>
      </w:r>
      <w:r w:rsidR="00CF596C" w:rsidRPr="002875B3">
        <w:rPr>
          <w:rFonts w:ascii="Arial" w:hAnsi="Arial" w:cs="Arial"/>
          <w:color w:val="FF0000"/>
        </w:rPr>
        <w:t>(</w:t>
      </w:r>
      <w:r w:rsidR="001E2E53" w:rsidRPr="002875B3">
        <w:rPr>
          <w:rFonts w:ascii="Arial" w:hAnsi="Arial" w:cs="Arial"/>
          <w:color w:val="FF0000"/>
        </w:rPr>
        <w:t>from</w:t>
      </w:r>
      <w:r w:rsidR="004830F3">
        <w:rPr>
          <w:rFonts w:ascii="Arial" w:hAnsi="Arial" w:cs="Arial"/>
          <w:color w:val="FF0000"/>
        </w:rPr>
        <w:t xml:space="preserve"> </w:t>
      </w:r>
      <w:r w:rsidR="00DC62AD">
        <w:rPr>
          <w:rFonts w:ascii="Arial" w:hAnsi="Arial" w:cs="Arial"/>
          <w:color w:val="FF0000"/>
        </w:rPr>
        <w:t>Sect</w:t>
      </w:r>
      <w:r w:rsidR="00C6620A">
        <w:rPr>
          <w:rFonts w:ascii="Arial" w:hAnsi="Arial" w:cs="Arial"/>
          <w:color w:val="FF0000"/>
        </w:rPr>
        <w:t xml:space="preserve">ion </w:t>
      </w:r>
      <w:r w:rsidR="0022661E">
        <w:rPr>
          <w:rFonts w:ascii="Arial" w:hAnsi="Arial" w:cs="Arial"/>
          <w:color w:val="FF0000"/>
        </w:rPr>
        <w:t>E</w:t>
      </w:r>
      <w:r w:rsidR="00C6620A">
        <w:rPr>
          <w:rFonts w:ascii="Arial" w:hAnsi="Arial" w:cs="Arial"/>
          <w:color w:val="FF0000"/>
        </w:rPr>
        <w:t xml:space="preserve">, </w:t>
      </w:r>
      <w:r w:rsidR="0022661E">
        <w:rPr>
          <w:rFonts w:ascii="Arial" w:hAnsi="Arial" w:cs="Arial"/>
          <w:color w:val="FF0000"/>
        </w:rPr>
        <w:t>Schedule of Net Deferred Outflows and Inflows by Year By Employer</w:t>
      </w:r>
      <w:r w:rsidR="00C6620A">
        <w:rPr>
          <w:rFonts w:ascii="Arial" w:hAnsi="Arial" w:cs="Arial"/>
          <w:color w:val="FF0000"/>
        </w:rPr>
        <w:t>)</w:t>
      </w:r>
      <w:r w:rsidR="00DC62AD">
        <w:rPr>
          <w:rFonts w:ascii="Arial" w:hAnsi="Arial" w:cs="Arial"/>
          <w:color w:val="FF0000"/>
        </w:rPr>
        <w:t xml:space="preserve">.  </w:t>
      </w:r>
      <w:r w:rsidR="004830F3">
        <w:rPr>
          <w:rFonts w:ascii="Arial" w:hAnsi="Arial" w:cs="Arial"/>
          <w:color w:val="FF0000"/>
        </w:rPr>
        <w:t>Year</w:t>
      </w:r>
      <w:r w:rsidR="005712C9" w:rsidRPr="002875B3">
        <w:rPr>
          <w:rFonts w:ascii="Arial" w:hAnsi="Arial" w:cs="Arial"/>
          <w:color w:val="FF0000"/>
        </w:rPr>
        <w:t>s will need to be rolled forward one year from dates in report</w:t>
      </w:r>
      <w:r w:rsidR="00CF596C" w:rsidRPr="002875B3">
        <w:rPr>
          <w:rFonts w:ascii="Arial" w:hAnsi="Arial" w:cs="Arial"/>
          <w:color w:val="FF0000"/>
        </w:rPr>
        <w:t>)</w:t>
      </w:r>
      <w:r w:rsidRPr="002875B3">
        <w:rPr>
          <w:rFonts w:ascii="Arial" w:hAnsi="Arial" w:cs="Arial"/>
          <w:color w:val="252525"/>
        </w:rPr>
        <w:t>:</w:t>
      </w:r>
      <w:r w:rsidR="005A3AE8" w:rsidRPr="002875B3">
        <w:rPr>
          <w:rFonts w:ascii="Arial" w:hAnsi="Arial" w:cs="Arial"/>
          <w:color w:val="252525"/>
        </w:rPr>
        <w:t xml:space="preserve"> </w:t>
      </w:r>
    </w:p>
    <w:tbl>
      <w:tblPr>
        <w:tblW w:w="0" w:type="auto"/>
        <w:tblInd w:w="20" w:type="dxa"/>
        <w:tblLayout w:type="fixed"/>
        <w:tblCellMar>
          <w:left w:w="0" w:type="dxa"/>
          <w:right w:w="0" w:type="dxa"/>
        </w:tblCellMar>
        <w:tblLook w:val="0000" w:firstRow="0" w:lastRow="0" w:firstColumn="0" w:lastColumn="0" w:noHBand="0" w:noVBand="0"/>
      </w:tblPr>
      <w:tblGrid>
        <w:gridCol w:w="4680"/>
        <w:gridCol w:w="4680"/>
      </w:tblGrid>
      <w:tr w:rsidR="002A7845" w:rsidRPr="00FC7863" w14:paraId="31C72B91" w14:textId="77777777">
        <w:tc>
          <w:tcPr>
            <w:tcW w:w="4680" w:type="dxa"/>
            <w:tcBorders>
              <w:top w:val="nil"/>
              <w:left w:val="nil"/>
              <w:bottom w:val="nil"/>
              <w:right w:val="nil"/>
            </w:tcBorders>
            <w:tcMar>
              <w:top w:w="20" w:type="dxa"/>
              <w:left w:w="20" w:type="dxa"/>
              <w:bottom w:w="20" w:type="dxa"/>
              <w:right w:w="20" w:type="dxa"/>
            </w:tcMar>
            <w:vAlign w:val="bottom"/>
          </w:tcPr>
          <w:p w14:paraId="32A6563A" w14:textId="77777777" w:rsidR="00B26D7D" w:rsidRPr="002875B3" w:rsidRDefault="00B26D7D" w:rsidP="00FC7863">
            <w:pPr>
              <w:widowControl w:val="0"/>
              <w:suppressAutoHyphens/>
              <w:autoSpaceDE w:val="0"/>
              <w:autoSpaceDN w:val="0"/>
              <w:adjustRightInd w:val="0"/>
              <w:spacing w:after="0" w:line="240" w:lineRule="auto"/>
              <w:rPr>
                <w:rFonts w:ascii="Arial" w:hAnsi="Arial" w:cs="Arial"/>
                <w:b/>
                <w:bCs/>
                <w:color w:val="252525"/>
              </w:rPr>
            </w:pPr>
          </w:p>
          <w:p w14:paraId="3246CC82"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2875B3">
              <w:rPr>
                <w:rFonts w:ascii="Arial" w:hAnsi="Arial" w:cs="Arial"/>
                <w:b/>
                <w:bCs/>
                <w:color w:val="252525"/>
              </w:rPr>
              <w:t>Year ended June 30:</w:t>
            </w:r>
          </w:p>
        </w:tc>
        <w:tc>
          <w:tcPr>
            <w:tcW w:w="4680" w:type="dxa"/>
            <w:tcBorders>
              <w:top w:val="nil"/>
              <w:left w:val="nil"/>
              <w:bottom w:val="nil"/>
              <w:right w:val="nil"/>
            </w:tcBorders>
            <w:tcMar>
              <w:top w:w="20" w:type="dxa"/>
              <w:left w:w="20" w:type="dxa"/>
              <w:bottom w:w="20" w:type="dxa"/>
              <w:right w:w="20" w:type="dxa"/>
            </w:tcMar>
            <w:vAlign w:val="bottom"/>
          </w:tcPr>
          <w:p w14:paraId="61205E1B"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c>
      </w:tr>
      <w:tr w:rsidR="002A7845" w:rsidRPr="00FC7863" w14:paraId="2EF99C39" w14:textId="77777777">
        <w:tc>
          <w:tcPr>
            <w:tcW w:w="4680" w:type="dxa"/>
            <w:tcBorders>
              <w:top w:val="nil"/>
              <w:left w:val="nil"/>
              <w:bottom w:val="nil"/>
              <w:right w:val="nil"/>
            </w:tcBorders>
            <w:tcMar>
              <w:top w:w="20" w:type="dxa"/>
              <w:left w:w="20" w:type="dxa"/>
              <w:bottom w:w="20" w:type="dxa"/>
              <w:right w:w="20" w:type="dxa"/>
            </w:tcMar>
            <w:vAlign w:val="bottom"/>
          </w:tcPr>
          <w:p w14:paraId="40DF39E2" w14:textId="7A3FE590"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B54C20">
              <w:rPr>
                <w:rFonts w:ascii="Arial" w:hAnsi="Arial" w:cs="Arial"/>
                <w:color w:val="252525"/>
              </w:rPr>
              <w:t>2</w:t>
            </w:r>
            <w:r w:rsidR="00E8184C">
              <w:rPr>
                <w:rFonts w:ascii="Arial" w:hAnsi="Arial" w:cs="Arial"/>
                <w:color w:val="252525"/>
              </w:rPr>
              <w:t>2</w:t>
            </w:r>
          </w:p>
        </w:tc>
        <w:tc>
          <w:tcPr>
            <w:tcW w:w="4680" w:type="dxa"/>
            <w:tcBorders>
              <w:top w:val="nil"/>
              <w:left w:val="nil"/>
              <w:bottom w:val="nil"/>
              <w:right w:val="nil"/>
            </w:tcBorders>
            <w:tcMar>
              <w:top w:w="20" w:type="dxa"/>
              <w:left w:w="20" w:type="dxa"/>
              <w:bottom w:w="20" w:type="dxa"/>
              <w:right w:w="20" w:type="dxa"/>
            </w:tcMar>
            <w:vAlign w:val="bottom"/>
          </w:tcPr>
          <w:p w14:paraId="4EBC75A2" w14:textId="77777777" w:rsidR="002A7845" w:rsidRPr="00FC7863" w:rsidRDefault="00F61E87" w:rsidP="00E83725">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E83725">
              <w:rPr>
                <w:rFonts w:ascii="Arial" w:hAnsi="Arial" w:cs="Arial"/>
                <w:color w:val="252525"/>
                <w:highlight w:val="yellow"/>
              </w:rPr>
              <w:t>X,XXX</w:t>
            </w:r>
          </w:p>
        </w:tc>
      </w:tr>
      <w:tr w:rsidR="002A7845" w:rsidRPr="00FC7863" w14:paraId="677FCD41" w14:textId="77777777">
        <w:tc>
          <w:tcPr>
            <w:tcW w:w="4680" w:type="dxa"/>
            <w:tcBorders>
              <w:top w:val="nil"/>
              <w:left w:val="nil"/>
              <w:bottom w:val="nil"/>
              <w:right w:val="nil"/>
            </w:tcBorders>
            <w:tcMar>
              <w:top w:w="20" w:type="dxa"/>
              <w:left w:w="20" w:type="dxa"/>
              <w:bottom w:w="20" w:type="dxa"/>
              <w:right w:w="20" w:type="dxa"/>
            </w:tcMar>
            <w:vAlign w:val="bottom"/>
          </w:tcPr>
          <w:p w14:paraId="38EAFE6A" w14:textId="6A328B9D"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5B4B25">
              <w:rPr>
                <w:rFonts w:ascii="Arial" w:hAnsi="Arial" w:cs="Arial"/>
                <w:color w:val="252525"/>
              </w:rPr>
              <w:t>2</w:t>
            </w:r>
            <w:r w:rsidR="00E8184C">
              <w:rPr>
                <w:rFonts w:ascii="Arial" w:hAnsi="Arial" w:cs="Arial"/>
                <w:color w:val="252525"/>
              </w:rPr>
              <w:t>3</w:t>
            </w:r>
          </w:p>
        </w:tc>
        <w:tc>
          <w:tcPr>
            <w:tcW w:w="4680" w:type="dxa"/>
            <w:tcBorders>
              <w:top w:val="nil"/>
              <w:left w:val="nil"/>
              <w:bottom w:val="nil"/>
              <w:right w:val="nil"/>
            </w:tcBorders>
            <w:tcMar>
              <w:top w:w="20" w:type="dxa"/>
              <w:left w:w="20" w:type="dxa"/>
              <w:bottom w:w="20" w:type="dxa"/>
              <w:right w:w="20" w:type="dxa"/>
            </w:tcMar>
            <w:vAlign w:val="bottom"/>
          </w:tcPr>
          <w:p w14:paraId="2A2EFBD4"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099DD742" w14:textId="77777777">
        <w:tc>
          <w:tcPr>
            <w:tcW w:w="4680" w:type="dxa"/>
            <w:tcBorders>
              <w:top w:val="nil"/>
              <w:left w:val="nil"/>
              <w:bottom w:val="nil"/>
              <w:right w:val="nil"/>
            </w:tcBorders>
            <w:tcMar>
              <w:top w:w="20" w:type="dxa"/>
              <w:left w:w="20" w:type="dxa"/>
              <w:bottom w:w="20" w:type="dxa"/>
              <w:right w:w="20" w:type="dxa"/>
            </w:tcMar>
            <w:vAlign w:val="bottom"/>
          </w:tcPr>
          <w:p w14:paraId="2CF21D44" w14:textId="49930FD2"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1A7F3B">
              <w:rPr>
                <w:rFonts w:ascii="Arial" w:hAnsi="Arial" w:cs="Arial"/>
                <w:color w:val="252525"/>
              </w:rPr>
              <w:t>2</w:t>
            </w:r>
            <w:r w:rsidR="00E8184C">
              <w:rPr>
                <w:rFonts w:ascii="Arial" w:hAnsi="Arial" w:cs="Arial"/>
                <w:color w:val="252525"/>
              </w:rPr>
              <w:t>4</w:t>
            </w:r>
          </w:p>
        </w:tc>
        <w:tc>
          <w:tcPr>
            <w:tcW w:w="4680" w:type="dxa"/>
            <w:tcBorders>
              <w:top w:val="nil"/>
              <w:left w:val="nil"/>
              <w:bottom w:val="nil"/>
              <w:right w:val="nil"/>
            </w:tcBorders>
            <w:tcMar>
              <w:top w:w="20" w:type="dxa"/>
              <w:left w:w="20" w:type="dxa"/>
              <w:bottom w:w="20" w:type="dxa"/>
              <w:right w:w="20" w:type="dxa"/>
            </w:tcMar>
            <w:vAlign w:val="bottom"/>
          </w:tcPr>
          <w:p w14:paraId="5F598DB2"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3CB11166" w14:textId="77777777">
        <w:tc>
          <w:tcPr>
            <w:tcW w:w="4680" w:type="dxa"/>
            <w:tcBorders>
              <w:top w:val="nil"/>
              <w:left w:val="nil"/>
              <w:bottom w:val="nil"/>
              <w:right w:val="nil"/>
            </w:tcBorders>
            <w:tcMar>
              <w:top w:w="20" w:type="dxa"/>
              <w:left w:w="20" w:type="dxa"/>
              <w:bottom w:w="20" w:type="dxa"/>
              <w:right w:w="20" w:type="dxa"/>
            </w:tcMar>
            <w:vAlign w:val="bottom"/>
          </w:tcPr>
          <w:p w14:paraId="0757C08B" w14:textId="13633160"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1A7F3B">
              <w:rPr>
                <w:rFonts w:ascii="Arial" w:hAnsi="Arial" w:cs="Arial"/>
                <w:color w:val="252525"/>
              </w:rPr>
              <w:t>2</w:t>
            </w:r>
            <w:r w:rsidR="00E8184C">
              <w:rPr>
                <w:rFonts w:ascii="Arial" w:hAnsi="Arial" w:cs="Arial"/>
                <w:color w:val="252525"/>
              </w:rPr>
              <w:t>5</w:t>
            </w:r>
          </w:p>
        </w:tc>
        <w:tc>
          <w:tcPr>
            <w:tcW w:w="4680" w:type="dxa"/>
            <w:tcBorders>
              <w:top w:val="nil"/>
              <w:left w:val="nil"/>
              <w:bottom w:val="nil"/>
              <w:right w:val="nil"/>
            </w:tcBorders>
            <w:tcMar>
              <w:top w:w="20" w:type="dxa"/>
              <w:left w:w="20" w:type="dxa"/>
              <w:bottom w:w="20" w:type="dxa"/>
              <w:right w:w="20" w:type="dxa"/>
            </w:tcMar>
            <w:vAlign w:val="bottom"/>
          </w:tcPr>
          <w:p w14:paraId="4C824580"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7A8A7CE1" w14:textId="77777777">
        <w:tc>
          <w:tcPr>
            <w:tcW w:w="4680" w:type="dxa"/>
            <w:tcBorders>
              <w:top w:val="nil"/>
              <w:left w:val="nil"/>
              <w:bottom w:val="nil"/>
              <w:right w:val="nil"/>
            </w:tcBorders>
            <w:tcMar>
              <w:top w:w="20" w:type="dxa"/>
              <w:left w:w="20" w:type="dxa"/>
              <w:bottom w:w="20" w:type="dxa"/>
              <w:right w:w="20" w:type="dxa"/>
            </w:tcMar>
            <w:vAlign w:val="bottom"/>
          </w:tcPr>
          <w:p w14:paraId="6FF53DFC" w14:textId="7B52503A"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1A7F3B">
              <w:rPr>
                <w:rFonts w:ascii="Arial" w:hAnsi="Arial" w:cs="Arial"/>
                <w:color w:val="252525"/>
              </w:rPr>
              <w:t>2</w:t>
            </w:r>
            <w:r w:rsidR="00E8184C">
              <w:rPr>
                <w:rFonts w:ascii="Arial" w:hAnsi="Arial" w:cs="Arial"/>
                <w:color w:val="252525"/>
              </w:rPr>
              <w:t>6</w:t>
            </w:r>
          </w:p>
        </w:tc>
        <w:tc>
          <w:tcPr>
            <w:tcW w:w="4680" w:type="dxa"/>
            <w:tcBorders>
              <w:top w:val="nil"/>
              <w:left w:val="nil"/>
              <w:bottom w:val="nil"/>
              <w:right w:val="nil"/>
            </w:tcBorders>
            <w:tcMar>
              <w:top w:w="20" w:type="dxa"/>
              <w:left w:w="20" w:type="dxa"/>
              <w:bottom w:w="20" w:type="dxa"/>
              <w:right w:w="20" w:type="dxa"/>
            </w:tcMar>
            <w:vAlign w:val="bottom"/>
          </w:tcPr>
          <w:p w14:paraId="2E57D4C6"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08A2B151" w14:textId="77777777">
        <w:tc>
          <w:tcPr>
            <w:tcW w:w="4680" w:type="dxa"/>
            <w:tcBorders>
              <w:top w:val="nil"/>
              <w:left w:val="nil"/>
              <w:bottom w:val="nil"/>
              <w:right w:val="nil"/>
            </w:tcBorders>
            <w:tcMar>
              <w:top w:w="20" w:type="dxa"/>
              <w:left w:w="20" w:type="dxa"/>
              <w:bottom w:w="20" w:type="dxa"/>
              <w:right w:w="20" w:type="dxa"/>
            </w:tcMar>
            <w:vAlign w:val="bottom"/>
          </w:tcPr>
          <w:p w14:paraId="2DE5B27C"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Thereafter</w:t>
            </w:r>
          </w:p>
        </w:tc>
        <w:tc>
          <w:tcPr>
            <w:tcW w:w="4680" w:type="dxa"/>
            <w:tcBorders>
              <w:top w:val="nil"/>
              <w:left w:val="nil"/>
              <w:bottom w:val="nil"/>
              <w:right w:val="nil"/>
            </w:tcBorders>
            <w:tcMar>
              <w:top w:w="20" w:type="dxa"/>
              <w:left w:w="20" w:type="dxa"/>
              <w:bottom w:w="20" w:type="dxa"/>
              <w:right w:w="20" w:type="dxa"/>
            </w:tcMar>
            <w:vAlign w:val="bottom"/>
          </w:tcPr>
          <w:p w14:paraId="5FFD0481"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bl>
    <w:p w14:paraId="64792BD8"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14:paraId="1793D8E2" w14:textId="7300AB66" w:rsidR="002A7845" w:rsidRPr="00E27355" w:rsidRDefault="00F61E87" w:rsidP="00716AA9">
      <w:pPr>
        <w:widowControl w:val="0"/>
        <w:suppressAutoHyphens/>
        <w:autoSpaceDE w:val="0"/>
        <w:autoSpaceDN w:val="0"/>
        <w:adjustRightInd w:val="0"/>
        <w:spacing w:after="0" w:line="240" w:lineRule="auto"/>
        <w:jc w:val="both"/>
        <w:rPr>
          <w:rFonts w:ascii="Arial" w:hAnsi="Arial" w:cs="Arial"/>
          <w:color w:val="252525"/>
        </w:rPr>
      </w:pPr>
      <w:r w:rsidRPr="009575FE">
        <w:rPr>
          <w:rFonts w:ascii="Arial" w:hAnsi="Arial" w:cs="Arial"/>
          <w:b/>
          <w:i/>
          <w:iCs/>
          <w:color w:val="252525"/>
        </w:rPr>
        <w:lastRenderedPageBreak/>
        <w:t>Actuarial</w:t>
      </w:r>
      <w:r w:rsidR="00FB0602" w:rsidRPr="009575FE">
        <w:rPr>
          <w:rFonts w:ascii="Arial" w:hAnsi="Arial" w:cs="Arial"/>
          <w:b/>
          <w:i/>
          <w:iCs/>
          <w:color w:val="252525"/>
        </w:rPr>
        <w:t xml:space="preserve"> </w:t>
      </w:r>
      <w:r w:rsidRPr="009575FE">
        <w:rPr>
          <w:rFonts w:ascii="Arial" w:hAnsi="Arial" w:cs="Arial"/>
          <w:b/>
          <w:i/>
          <w:iCs/>
          <w:color w:val="252525"/>
        </w:rPr>
        <w:t>assumptions</w:t>
      </w:r>
      <w:r w:rsidRPr="009575FE">
        <w:rPr>
          <w:rFonts w:ascii="Arial" w:hAnsi="Arial" w:cs="Arial"/>
          <w:b/>
          <w:color w:val="252525"/>
        </w:rPr>
        <w:t>.</w:t>
      </w:r>
      <w:r w:rsidR="00FB0602" w:rsidRPr="009575FE">
        <w:rPr>
          <w:rFonts w:ascii="Arial" w:hAnsi="Arial" w:cs="Arial"/>
          <w:color w:val="252525"/>
        </w:rPr>
        <w:t xml:space="preserve"> T</w:t>
      </w:r>
      <w:r w:rsidRPr="009575FE">
        <w:rPr>
          <w:rFonts w:ascii="Arial" w:hAnsi="Arial" w:cs="Arial"/>
          <w:color w:val="252525"/>
        </w:rPr>
        <w:t xml:space="preserve">he total </w:t>
      </w:r>
      <w:r w:rsidR="00951F49">
        <w:rPr>
          <w:rFonts w:ascii="Arial" w:hAnsi="Arial" w:cs="Arial"/>
          <w:color w:val="252525"/>
        </w:rPr>
        <w:t>OPEB</w:t>
      </w:r>
      <w:r w:rsidRPr="009575FE">
        <w:rPr>
          <w:rFonts w:ascii="Arial" w:hAnsi="Arial" w:cs="Arial"/>
          <w:color w:val="252525"/>
        </w:rPr>
        <w:t xml:space="preserve"> liability in</w:t>
      </w:r>
      <w:r w:rsidRPr="00E27355">
        <w:rPr>
          <w:rFonts w:ascii="Arial" w:hAnsi="Arial" w:cs="Arial"/>
          <w:color w:val="252525"/>
        </w:rPr>
        <w:t xml:space="preserve"> the </w:t>
      </w:r>
      <w:r w:rsidR="005D755E">
        <w:rPr>
          <w:rFonts w:ascii="Arial" w:hAnsi="Arial" w:cs="Arial"/>
        </w:rPr>
        <w:t>July 1, 20</w:t>
      </w:r>
      <w:r w:rsidR="00496531">
        <w:rPr>
          <w:rFonts w:ascii="Arial" w:hAnsi="Arial" w:cs="Arial"/>
        </w:rPr>
        <w:t>2</w:t>
      </w:r>
      <w:r w:rsidR="00E8184C">
        <w:rPr>
          <w:rFonts w:ascii="Arial" w:hAnsi="Arial" w:cs="Arial"/>
        </w:rPr>
        <w:t>1</w:t>
      </w:r>
      <w:r w:rsidRPr="00E27355">
        <w:rPr>
          <w:rFonts w:ascii="Arial" w:hAnsi="Arial" w:cs="Arial"/>
        </w:rPr>
        <w:t xml:space="preserve"> </w:t>
      </w:r>
      <w:r w:rsidRPr="00E27355">
        <w:rPr>
          <w:rFonts w:ascii="Arial" w:hAnsi="Arial" w:cs="Arial"/>
          <w:color w:val="252525"/>
        </w:rPr>
        <w:t>actuarial valuation was determined using the following actuarial assumptions, applied to all periods included in the measurement:</w:t>
      </w:r>
    </w:p>
    <w:tbl>
      <w:tblPr>
        <w:tblW w:w="11118" w:type="dxa"/>
        <w:tblInd w:w="-88" w:type="dxa"/>
        <w:tblLayout w:type="fixed"/>
        <w:tblCellMar>
          <w:left w:w="0" w:type="dxa"/>
          <w:right w:w="0" w:type="dxa"/>
        </w:tblCellMar>
        <w:tblLook w:val="0000" w:firstRow="0" w:lastRow="0" w:firstColumn="0" w:lastColumn="0" w:noHBand="0" w:noVBand="0"/>
      </w:tblPr>
      <w:tblGrid>
        <w:gridCol w:w="108"/>
        <w:gridCol w:w="2700"/>
        <w:gridCol w:w="182"/>
        <w:gridCol w:w="7288"/>
        <w:gridCol w:w="840"/>
      </w:tblGrid>
      <w:tr w:rsidR="00495C7D" w:rsidRPr="00E27355" w14:paraId="3BA5BC67" w14:textId="77777777" w:rsidTr="003207EB">
        <w:trPr>
          <w:gridBefore w:val="1"/>
          <w:wBefore w:w="108" w:type="dxa"/>
          <w:trHeight w:val="60"/>
        </w:trPr>
        <w:tc>
          <w:tcPr>
            <w:tcW w:w="2882" w:type="dxa"/>
            <w:gridSpan w:val="2"/>
            <w:tcBorders>
              <w:top w:val="nil"/>
              <w:left w:val="nil"/>
              <w:bottom w:val="nil"/>
              <w:right w:val="nil"/>
            </w:tcBorders>
            <w:tcMar>
              <w:top w:w="20" w:type="dxa"/>
              <w:left w:w="20" w:type="dxa"/>
              <w:bottom w:w="20" w:type="dxa"/>
              <w:right w:w="20" w:type="dxa"/>
            </w:tcMar>
          </w:tcPr>
          <w:p w14:paraId="1DF420A8" w14:textId="77777777" w:rsidR="00495C7D" w:rsidRPr="00E27355" w:rsidRDefault="00495C7D" w:rsidP="00210673">
            <w:pPr>
              <w:widowControl w:val="0"/>
              <w:suppressAutoHyphens/>
              <w:autoSpaceDE w:val="0"/>
              <w:autoSpaceDN w:val="0"/>
              <w:adjustRightInd w:val="0"/>
              <w:spacing w:after="0" w:line="240" w:lineRule="auto"/>
              <w:rPr>
                <w:rFonts w:ascii="Arial" w:hAnsi="Arial" w:cs="Arial"/>
                <w:color w:val="252525"/>
              </w:rPr>
            </w:pPr>
          </w:p>
        </w:tc>
        <w:tc>
          <w:tcPr>
            <w:tcW w:w="8128" w:type="dxa"/>
            <w:gridSpan w:val="2"/>
            <w:tcBorders>
              <w:top w:val="nil"/>
              <w:left w:val="nil"/>
              <w:bottom w:val="nil"/>
              <w:right w:val="nil"/>
            </w:tcBorders>
            <w:tcMar>
              <w:top w:w="20" w:type="dxa"/>
              <w:left w:w="20" w:type="dxa"/>
              <w:bottom w:w="20" w:type="dxa"/>
              <w:right w:w="20" w:type="dxa"/>
            </w:tcMar>
            <w:vAlign w:val="bottom"/>
          </w:tcPr>
          <w:p w14:paraId="39959C9B" w14:textId="77777777" w:rsidR="00495C7D" w:rsidRPr="00E27355" w:rsidRDefault="00495C7D" w:rsidP="00495C7D">
            <w:pPr>
              <w:widowControl w:val="0"/>
              <w:suppressAutoHyphens/>
              <w:autoSpaceDE w:val="0"/>
              <w:autoSpaceDN w:val="0"/>
              <w:adjustRightInd w:val="0"/>
              <w:spacing w:after="0" w:line="240" w:lineRule="auto"/>
              <w:rPr>
                <w:rFonts w:ascii="Arial" w:hAnsi="Arial" w:cs="Arial"/>
                <w:color w:val="252525"/>
              </w:rPr>
            </w:pPr>
          </w:p>
        </w:tc>
      </w:tr>
      <w:tr w:rsidR="00EB05EE" w:rsidRPr="00E27355" w14:paraId="5F4B6745" w14:textId="77777777" w:rsidTr="003207EB">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14:paraId="603989F1" w14:textId="77777777" w:rsidR="00EB05EE" w:rsidRPr="00E27355" w:rsidRDefault="00EB05EE">
            <w:pPr>
              <w:pStyle w:val="Default"/>
              <w:rPr>
                <w:rFonts w:ascii="Arial" w:hAnsi="Arial" w:cs="Arial"/>
                <w:sz w:val="22"/>
                <w:szCs w:val="22"/>
              </w:rPr>
            </w:pPr>
            <w:r w:rsidRPr="00E27355">
              <w:rPr>
                <w:rFonts w:ascii="Arial" w:hAnsi="Arial" w:cs="Arial"/>
                <w:sz w:val="22"/>
                <w:szCs w:val="22"/>
              </w:rPr>
              <w:t xml:space="preserve">Inflation </w:t>
            </w:r>
          </w:p>
        </w:tc>
        <w:tc>
          <w:tcPr>
            <w:tcW w:w="7470" w:type="dxa"/>
            <w:gridSpan w:val="2"/>
          </w:tcPr>
          <w:p w14:paraId="1A6DCA2E" w14:textId="0954490A" w:rsidR="00EB05EE" w:rsidRDefault="00955EE5">
            <w:pPr>
              <w:pStyle w:val="Default"/>
              <w:rPr>
                <w:rFonts w:ascii="Arial" w:hAnsi="Arial" w:cs="Arial"/>
                <w:sz w:val="22"/>
                <w:szCs w:val="22"/>
              </w:rPr>
            </w:pPr>
            <w:r>
              <w:rPr>
                <w:rFonts w:ascii="Arial" w:hAnsi="Arial" w:cs="Arial"/>
                <w:sz w:val="22"/>
                <w:szCs w:val="22"/>
              </w:rPr>
              <w:t>2</w:t>
            </w:r>
            <w:r w:rsidR="009C546D" w:rsidRPr="00E27355">
              <w:rPr>
                <w:rFonts w:ascii="Arial" w:hAnsi="Arial" w:cs="Arial"/>
                <w:sz w:val="22"/>
                <w:szCs w:val="22"/>
              </w:rPr>
              <w:t>.</w:t>
            </w:r>
            <w:r w:rsidR="00496531">
              <w:rPr>
                <w:rFonts w:ascii="Arial" w:hAnsi="Arial" w:cs="Arial"/>
                <w:sz w:val="22"/>
                <w:szCs w:val="22"/>
              </w:rPr>
              <w:t>25</w:t>
            </w:r>
            <w:r w:rsidR="00EB05EE" w:rsidRPr="00E27355">
              <w:rPr>
                <w:rFonts w:ascii="Arial" w:hAnsi="Arial" w:cs="Arial"/>
                <w:sz w:val="22"/>
                <w:szCs w:val="22"/>
              </w:rPr>
              <w:t xml:space="preserve">% </w:t>
            </w:r>
          </w:p>
          <w:p w14:paraId="00F20235" w14:textId="77777777" w:rsidR="003207EB" w:rsidRPr="00E27355" w:rsidRDefault="003207EB">
            <w:pPr>
              <w:pStyle w:val="Default"/>
              <w:rPr>
                <w:rFonts w:ascii="Arial" w:hAnsi="Arial" w:cs="Arial"/>
                <w:sz w:val="22"/>
                <w:szCs w:val="22"/>
              </w:rPr>
            </w:pPr>
          </w:p>
        </w:tc>
      </w:tr>
      <w:tr w:rsidR="00EB05EE" w:rsidRPr="00E27355" w14:paraId="588F13B4" w14:textId="77777777" w:rsidTr="003207EB">
        <w:tblPrEx>
          <w:tblBorders>
            <w:top w:val="nil"/>
            <w:left w:val="nil"/>
            <w:bottom w:val="nil"/>
            <w:right w:val="nil"/>
          </w:tblBorders>
          <w:tblCellMar>
            <w:left w:w="108" w:type="dxa"/>
            <w:right w:w="108" w:type="dxa"/>
          </w:tblCellMar>
        </w:tblPrEx>
        <w:trPr>
          <w:gridAfter w:val="1"/>
          <w:wAfter w:w="840" w:type="dxa"/>
          <w:trHeight w:val="272"/>
        </w:trPr>
        <w:tc>
          <w:tcPr>
            <w:tcW w:w="2808" w:type="dxa"/>
            <w:gridSpan w:val="2"/>
          </w:tcPr>
          <w:p w14:paraId="6AC5AEDC" w14:textId="77777777" w:rsidR="00EB05EE" w:rsidRPr="00E27355" w:rsidRDefault="00EB05EE">
            <w:pPr>
              <w:pStyle w:val="Default"/>
              <w:rPr>
                <w:rFonts w:ascii="Arial" w:hAnsi="Arial" w:cs="Arial"/>
                <w:color w:val="000000" w:themeColor="text1"/>
                <w:sz w:val="22"/>
                <w:szCs w:val="22"/>
              </w:rPr>
            </w:pPr>
            <w:r w:rsidRPr="00E27355">
              <w:rPr>
                <w:rFonts w:ascii="Arial" w:hAnsi="Arial" w:cs="Arial"/>
                <w:color w:val="000000" w:themeColor="text1"/>
                <w:sz w:val="22"/>
                <w:szCs w:val="22"/>
              </w:rPr>
              <w:t xml:space="preserve">Salary increases </w:t>
            </w:r>
          </w:p>
        </w:tc>
        <w:tc>
          <w:tcPr>
            <w:tcW w:w="7470" w:type="dxa"/>
            <w:gridSpan w:val="2"/>
          </w:tcPr>
          <w:p w14:paraId="3CD22FB3" w14:textId="77777777" w:rsidR="00EB05EE" w:rsidRPr="00496531" w:rsidRDefault="00955EE5" w:rsidP="003207EB">
            <w:pPr>
              <w:pStyle w:val="Default"/>
              <w:rPr>
                <w:rFonts w:ascii="Arial" w:hAnsi="Arial" w:cs="Arial"/>
                <w:color w:val="000000" w:themeColor="text1"/>
                <w:sz w:val="22"/>
                <w:szCs w:val="22"/>
              </w:rPr>
            </w:pPr>
            <w:r w:rsidRPr="00496531">
              <w:rPr>
                <w:rFonts w:ascii="Arial" w:hAnsi="Arial" w:cs="Arial"/>
                <w:color w:val="000000" w:themeColor="text1"/>
                <w:sz w:val="22"/>
                <w:szCs w:val="22"/>
              </w:rPr>
              <w:t>Not applicable</w:t>
            </w:r>
          </w:p>
          <w:p w14:paraId="667CB094" w14:textId="77777777" w:rsidR="003207EB" w:rsidRPr="00E27355" w:rsidRDefault="003207EB" w:rsidP="003207EB">
            <w:pPr>
              <w:pStyle w:val="Default"/>
              <w:rPr>
                <w:rFonts w:ascii="Arial" w:hAnsi="Arial" w:cs="Arial"/>
                <w:color w:val="000000" w:themeColor="text1"/>
                <w:sz w:val="22"/>
                <w:szCs w:val="22"/>
              </w:rPr>
            </w:pPr>
          </w:p>
        </w:tc>
      </w:tr>
      <w:tr w:rsidR="00EB05EE" w:rsidRPr="00E27355" w14:paraId="71274C9D" w14:textId="77777777" w:rsidTr="003207EB">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14:paraId="03F3B67D" w14:textId="77777777" w:rsidR="00EB05EE" w:rsidRPr="00E27355" w:rsidRDefault="00EB05EE">
            <w:pPr>
              <w:pStyle w:val="Default"/>
              <w:rPr>
                <w:rFonts w:ascii="Arial" w:hAnsi="Arial" w:cs="Arial"/>
                <w:sz w:val="22"/>
                <w:szCs w:val="22"/>
              </w:rPr>
            </w:pPr>
            <w:r w:rsidRPr="00E27355">
              <w:rPr>
                <w:rFonts w:ascii="Arial" w:hAnsi="Arial" w:cs="Arial"/>
                <w:sz w:val="22"/>
                <w:szCs w:val="22"/>
              </w:rPr>
              <w:t xml:space="preserve">Investment rate of return </w:t>
            </w:r>
          </w:p>
        </w:tc>
        <w:tc>
          <w:tcPr>
            <w:tcW w:w="7470" w:type="dxa"/>
            <w:gridSpan w:val="2"/>
          </w:tcPr>
          <w:p w14:paraId="37AC8193" w14:textId="744F283D" w:rsidR="00EB05EE" w:rsidRDefault="00496531">
            <w:pPr>
              <w:pStyle w:val="Default"/>
              <w:rPr>
                <w:rFonts w:ascii="Arial" w:hAnsi="Arial" w:cs="Arial"/>
                <w:sz w:val="22"/>
                <w:szCs w:val="22"/>
              </w:rPr>
            </w:pPr>
            <w:r>
              <w:rPr>
                <w:rFonts w:ascii="Arial" w:hAnsi="Arial" w:cs="Arial"/>
                <w:sz w:val="22"/>
                <w:szCs w:val="22"/>
              </w:rPr>
              <w:t>6.50</w:t>
            </w:r>
            <w:r w:rsidR="00EB05EE" w:rsidRPr="00E27355">
              <w:rPr>
                <w:rFonts w:ascii="Arial" w:hAnsi="Arial" w:cs="Arial"/>
                <w:sz w:val="22"/>
                <w:szCs w:val="22"/>
              </w:rPr>
              <w:t xml:space="preserve">%, net of investment expenses </w:t>
            </w:r>
          </w:p>
          <w:p w14:paraId="6FF3A5AA" w14:textId="77777777" w:rsidR="00955EE5" w:rsidRPr="00E27355" w:rsidRDefault="00955EE5">
            <w:pPr>
              <w:pStyle w:val="Default"/>
              <w:rPr>
                <w:rFonts w:ascii="Arial" w:hAnsi="Arial" w:cs="Arial"/>
                <w:sz w:val="22"/>
                <w:szCs w:val="22"/>
              </w:rPr>
            </w:pPr>
          </w:p>
        </w:tc>
      </w:tr>
      <w:tr w:rsidR="00EB05EE" w:rsidRPr="00E27355" w14:paraId="2D1953F0" w14:textId="77777777" w:rsidTr="003207EB">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14:paraId="0BB30592" w14:textId="77777777" w:rsidR="00EB05EE" w:rsidRPr="00E27355" w:rsidRDefault="00EB05EE">
            <w:pPr>
              <w:pStyle w:val="Default"/>
              <w:rPr>
                <w:rFonts w:ascii="Arial" w:hAnsi="Arial" w:cs="Arial"/>
                <w:sz w:val="22"/>
                <w:szCs w:val="22"/>
              </w:rPr>
            </w:pPr>
            <w:r w:rsidRPr="00E27355">
              <w:rPr>
                <w:rFonts w:ascii="Arial" w:hAnsi="Arial" w:cs="Arial"/>
                <w:sz w:val="22"/>
                <w:szCs w:val="22"/>
              </w:rPr>
              <w:t xml:space="preserve">Cost-of-living adjustments </w:t>
            </w:r>
          </w:p>
        </w:tc>
        <w:tc>
          <w:tcPr>
            <w:tcW w:w="7470" w:type="dxa"/>
            <w:gridSpan w:val="2"/>
          </w:tcPr>
          <w:p w14:paraId="6DE9601E" w14:textId="77777777" w:rsidR="00EB05EE" w:rsidRPr="00E27355" w:rsidRDefault="00EB05EE">
            <w:pPr>
              <w:pStyle w:val="Default"/>
              <w:rPr>
                <w:rFonts w:ascii="Arial" w:hAnsi="Arial" w:cs="Arial"/>
                <w:sz w:val="22"/>
                <w:szCs w:val="22"/>
              </w:rPr>
            </w:pPr>
            <w:r w:rsidRPr="00E27355">
              <w:rPr>
                <w:rFonts w:ascii="Arial" w:hAnsi="Arial" w:cs="Arial"/>
                <w:sz w:val="22"/>
                <w:szCs w:val="22"/>
              </w:rPr>
              <w:t xml:space="preserve">None </w:t>
            </w:r>
          </w:p>
        </w:tc>
      </w:tr>
      <w:tr w:rsidR="000F5647" w:rsidRPr="006F5A37" w14:paraId="15888CAE" w14:textId="77777777" w:rsidTr="003207EB">
        <w:trPr>
          <w:gridBefore w:val="1"/>
          <w:wBefore w:w="108" w:type="dxa"/>
        </w:trPr>
        <w:tc>
          <w:tcPr>
            <w:tcW w:w="2882" w:type="dxa"/>
            <w:gridSpan w:val="2"/>
            <w:tcBorders>
              <w:top w:val="nil"/>
              <w:left w:val="nil"/>
              <w:bottom w:val="nil"/>
              <w:right w:val="nil"/>
            </w:tcBorders>
            <w:tcMar>
              <w:top w:w="20" w:type="dxa"/>
              <w:left w:w="20" w:type="dxa"/>
              <w:bottom w:w="20" w:type="dxa"/>
              <w:right w:w="20" w:type="dxa"/>
            </w:tcMar>
          </w:tcPr>
          <w:p w14:paraId="3FB5ED89" w14:textId="77777777" w:rsidR="000F5647" w:rsidRPr="006F5A37" w:rsidRDefault="000F5647" w:rsidP="00495C7D">
            <w:pPr>
              <w:widowControl w:val="0"/>
              <w:suppressAutoHyphens/>
              <w:autoSpaceDE w:val="0"/>
              <w:autoSpaceDN w:val="0"/>
              <w:adjustRightInd w:val="0"/>
              <w:spacing w:after="0" w:line="240" w:lineRule="auto"/>
              <w:rPr>
                <w:rFonts w:ascii="Arial" w:hAnsi="Arial" w:cs="Arial"/>
                <w:color w:val="252525"/>
                <w:highlight w:val="cyan"/>
              </w:rPr>
            </w:pPr>
          </w:p>
        </w:tc>
        <w:tc>
          <w:tcPr>
            <w:tcW w:w="8128" w:type="dxa"/>
            <w:gridSpan w:val="2"/>
            <w:tcBorders>
              <w:top w:val="nil"/>
              <w:left w:val="nil"/>
              <w:bottom w:val="nil"/>
              <w:right w:val="nil"/>
            </w:tcBorders>
            <w:tcMar>
              <w:top w:w="20" w:type="dxa"/>
              <w:left w:w="20" w:type="dxa"/>
              <w:bottom w:w="20" w:type="dxa"/>
              <w:right w:w="20" w:type="dxa"/>
            </w:tcMar>
            <w:vAlign w:val="bottom"/>
          </w:tcPr>
          <w:p w14:paraId="41668852" w14:textId="77777777" w:rsidR="000F5647" w:rsidRPr="006F5A37" w:rsidRDefault="000F5647" w:rsidP="00495C7D">
            <w:pPr>
              <w:widowControl w:val="0"/>
              <w:suppressAutoHyphens/>
              <w:autoSpaceDE w:val="0"/>
              <w:autoSpaceDN w:val="0"/>
              <w:adjustRightInd w:val="0"/>
              <w:spacing w:after="0" w:line="240" w:lineRule="auto"/>
              <w:rPr>
                <w:rFonts w:ascii="Arial" w:hAnsi="Arial" w:cs="Arial"/>
                <w:color w:val="252525"/>
                <w:highlight w:val="cyan"/>
              </w:rPr>
            </w:pPr>
          </w:p>
        </w:tc>
      </w:tr>
    </w:tbl>
    <w:p w14:paraId="3289AF5A" w14:textId="511B3A19" w:rsidR="00EB05EE" w:rsidRPr="00E27355" w:rsidRDefault="00EB05EE" w:rsidP="00EB05EE">
      <w:pPr>
        <w:pStyle w:val="Default"/>
        <w:jc w:val="both"/>
        <w:rPr>
          <w:rFonts w:ascii="Arial" w:hAnsi="Arial" w:cs="Arial"/>
          <w:sz w:val="22"/>
          <w:szCs w:val="22"/>
        </w:rPr>
      </w:pPr>
      <w:r w:rsidRPr="00E27355">
        <w:rPr>
          <w:rFonts w:ascii="Arial" w:hAnsi="Arial" w:cs="Arial"/>
          <w:sz w:val="22"/>
          <w:szCs w:val="22"/>
        </w:rPr>
        <w:t>For</w:t>
      </w:r>
      <w:r w:rsidR="00E27355" w:rsidRPr="00E27355">
        <w:rPr>
          <w:rFonts w:ascii="Arial" w:hAnsi="Arial" w:cs="Arial"/>
          <w:sz w:val="22"/>
          <w:szCs w:val="22"/>
        </w:rPr>
        <w:t xml:space="preserve"> active members,</w:t>
      </w:r>
      <w:r w:rsidRPr="00E27355">
        <w:rPr>
          <w:rFonts w:ascii="Arial" w:hAnsi="Arial" w:cs="Arial"/>
          <w:sz w:val="22"/>
          <w:szCs w:val="22"/>
        </w:rPr>
        <w:t xml:space="preserve"> inactive members and healt</w:t>
      </w:r>
      <w:r w:rsidR="00E27355" w:rsidRPr="00E27355">
        <w:rPr>
          <w:rFonts w:ascii="Arial" w:hAnsi="Arial" w:cs="Arial"/>
          <w:sz w:val="22"/>
          <w:szCs w:val="22"/>
        </w:rPr>
        <w:t>hy retirees, mortality rates were</w:t>
      </w:r>
      <w:r w:rsidRPr="00E27355">
        <w:rPr>
          <w:rFonts w:ascii="Arial" w:hAnsi="Arial" w:cs="Arial"/>
          <w:sz w:val="22"/>
          <w:szCs w:val="22"/>
        </w:rPr>
        <w:t xml:space="preserve"> based on </w:t>
      </w:r>
      <w:r w:rsidR="00E27355" w:rsidRPr="00E27355">
        <w:rPr>
          <w:rFonts w:ascii="Arial" w:hAnsi="Arial" w:cs="Arial"/>
          <w:sz w:val="22"/>
          <w:szCs w:val="22"/>
        </w:rPr>
        <w:t xml:space="preserve">the </w:t>
      </w:r>
      <w:r w:rsidR="00496531" w:rsidRPr="00496531">
        <w:rPr>
          <w:rFonts w:ascii="Arial" w:hAnsi="Arial" w:cs="Arial"/>
          <w:sz w:val="22"/>
          <w:szCs w:val="22"/>
        </w:rPr>
        <w:t>MortalityPub-2010 Healthy Retiree Mortality table (for General Employees), sex-distinct, with rates multiplied by 103% for males and 101% for females. Pub-2010 Disabled Retiree Mortality table (for General Employees), sex-distinct, with rates multiplied by 117% for males and 112% for females. Pub-2010 Employee Mortality table (for General Employees), sex-distinct, with rates multiplied by 92% for both males and females. Mortality rates are projected from 2010 using the MP-2019 scale.</w:t>
      </w:r>
    </w:p>
    <w:p w14:paraId="6718D5C0" w14:textId="77777777" w:rsidR="00EB05EE" w:rsidRPr="006F5A37" w:rsidRDefault="00EB05EE" w:rsidP="00EB05EE">
      <w:pPr>
        <w:widowControl w:val="0"/>
        <w:suppressAutoHyphens/>
        <w:autoSpaceDE w:val="0"/>
        <w:autoSpaceDN w:val="0"/>
        <w:adjustRightInd w:val="0"/>
        <w:spacing w:after="0" w:line="240" w:lineRule="auto"/>
        <w:jc w:val="both"/>
        <w:rPr>
          <w:rFonts w:ascii="Arial" w:hAnsi="Arial" w:cs="Arial"/>
          <w:color w:val="252525"/>
          <w:highlight w:val="cyan"/>
        </w:rPr>
      </w:pPr>
    </w:p>
    <w:p w14:paraId="3ECD2095" w14:textId="033DFD14" w:rsidR="000F49B3" w:rsidRDefault="005D5AD2" w:rsidP="005D5AD2">
      <w:pPr>
        <w:autoSpaceDE w:val="0"/>
        <w:autoSpaceDN w:val="0"/>
        <w:adjustRightInd w:val="0"/>
        <w:spacing w:after="0" w:line="240" w:lineRule="auto"/>
        <w:rPr>
          <w:rFonts w:ascii="ArialMT" w:hAnsi="ArialMT" w:cs="ArialMT"/>
        </w:rPr>
      </w:pPr>
      <w:r>
        <w:rPr>
          <w:rFonts w:ascii="ArialMT" w:hAnsi="ArialMT" w:cs="ArialMT"/>
        </w:rPr>
        <w:t>The long-term expected investment rate of return assumption for the RHIC fund was determined using a building-block method in which best-estimate ranges of expected future real rates of return (expected returns, net of RHIC investment expense and inflation) are developed for each major asset class. These ranges are combined to produce the long-term expected rate of return by weighting the expected future real rates of return by the target asset allocation percentage and by adding expected inflation. Estimates of arithmetic real rates of return, for each major asset class included in the RHIC’s target asset allocation as of July 1, 20</w:t>
      </w:r>
      <w:r w:rsidR="00496531">
        <w:rPr>
          <w:rFonts w:ascii="ArialMT" w:hAnsi="ArialMT" w:cs="ArialMT"/>
        </w:rPr>
        <w:t>2</w:t>
      </w:r>
      <w:r w:rsidR="00E8184C">
        <w:rPr>
          <w:rFonts w:ascii="ArialMT" w:hAnsi="ArialMT" w:cs="ArialMT"/>
        </w:rPr>
        <w:t>1</w:t>
      </w:r>
      <w:r>
        <w:rPr>
          <w:rFonts w:ascii="ArialMT" w:hAnsi="ArialMT" w:cs="ArialMT"/>
        </w:rPr>
        <w:t xml:space="preserve"> are summarized in the following table:</w:t>
      </w:r>
    </w:p>
    <w:p w14:paraId="5E67DB4E" w14:textId="77777777" w:rsidR="005D5AD2" w:rsidRPr="005D5AD2" w:rsidRDefault="005D5AD2" w:rsidP="005D5AD2">
      <w:pPr>
        <w:autoSpaceDE w:val="0"/>
        <w:autoSpaceDN w:val="0"/>
        <w:adjustRightInd w:val="0"/>
        <w:spacing w:after="0" w:line="240" w:lineRule="auto"/>
        <w:rPr>
          <w:rFonts w:ascii="ArialMT" w:hAnsi="ArialMT" w:cs="ArialMT"/>
        </w:rPr>
      </w:pPr>
    </w:p>
    <w:tbl>
      <w:tblPr>
        <w:tblStyle w:val="TableGrid"/>
        <w:tblW w:w="0" w:type="auto"/>
        <w:tblLook w:val="04A0" w:firstRow="1" w:lastRow="0" w:firstColumn="1" w:lastColumn="0" w:noHBand="0" w:noVBand="1"/>
      </w:tblPr>
      <w:tblGrid>
        <w:gridCol w:w="3192"/>
        <w:gridCol w:w="3192"/>
        <w:gridCol w:w="3192"/>
      </w:tblGrid>
      <w:tr w:rsidR="000F49B3" w14:paraId="0DC7FDDA" w14:textId="77777777" w:rsidTr="00B54C20">
        <w:tc>
          <w:tcPr>
            <w:tcW w:w="3192" w:type="dxa"/>
          </w:tcPr>
          <w:p w14:paraId="51551DBF" w14:textId="77777777"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Asset Class</w:t>
            </w:r>
          </w:p>
        </w:tc>
        <w:tc>
          <w:tcPr>
            <w:tcW w:w="3192" w:type="dxa"/>
          </w:tcPr>
          <w:p w14:paraId="4962FD21" w14:textId="77777777"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Target Allocation</w:t>
            </w:r>
          </w:p>
        </w:tc>
        <w:tc>
          <w:tcPr>
            <w:tcW w:w="3192" w:type="dxa"/>
          </w:tcPr>
          <w:p w14:paraId="7595C589" w14:textId="77777777"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Long-Term Expected Real Rate of Return</w:t>
            </w:r>
          </w:p>
        </w:tc>
      </w:tr>
      <w:tr w:rsidR="000F49B3" w14:paraId="7A38A5AE" w14:textId="77777777" w:rsidTr="00B54C20">
        <w:tc>
          <w:tcPr>
            <w:tcW w:w="3192" w:type="dxa"/>
          </w:tcPr>
          <w:p w14:paraId="4C624905" w14:textId="77777777" w:rsidR="000F49B3" w:rsidRDefault="00214C5A" w:rsidP="00FC7863">
            <w:pPr>
              <w:widowControl w:val="0"/>
              <w:suppressAutoHyphens/>
              <w:autoSpaceDE w:val="0"/>
              <w:autoSpaceDN w:val="0"/>
              <w:adjustRightInd w:val="0"/>
              <w:rPr>
                <w:rFonts w:ascii="Arial" w:hAnsi="Arial" w:cs="Arial"/>
                <w:color w:val="252525"/>
              </w:rPr>
            </w:pPr>
            <w:r>
              <w:rPr>
                <w:rFonts w:ascii="Arial" w:hAnsi="Arial" w:cs="Arial"/>
                <w:color w:val="252525"/>
              </w:rPr>
              <w:t xml:space="preserve">Large Cap </w:t>
            </w:r>
            <w:r w:rsidR="005D5AD2">
              <w:rPr>
                <w:rFonts w:ascii="Arial" w:hAnsi="Arial" w:cs="Arial"/>
                <w:color w:val="252525"/>
              </w:rPr>
              <w:t>Domestic Equities</w:t>
            </w:r>
          </w:p>
        </w:tc>
        <w:tc>
          <w:tcPr>
            <w:tcW w:w="3192" w:type="dxa"/>
          </w:tcPr>
          <w:p w14:paraId="719820D3" w14:textId="4FAFC82C" w:rsidR="000F49B3" w:rsidRDefault="00496531"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33</w:t>
            </w:r>
            <w:r w:rsidR="00214C5A">
              <w:rPr>
                <w:rFonts w:ascii="Arial" w:hAnsi="Arial" w:cs="Arial"/>
                <w:color w:val="252525"/>
              </w:rPr>
              <w:t>%</w:t>
            </w:r>
          </w:p>
        </w:tc>
        <w:tc>
          <w:tcPr>
            <w:tcW w:w="3192" w:type="dxa"/>
          </w:tcPr>
          <w:p w14:paraId="743040F3" w14:textId="76DEAED9" w:rsidR="000F49B3" w:rsidRDefault="00E8184C"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5.85</w:t>
            </w:r>
            <w:r w:rsidR="00214C5A">
              <w:rPr>
                <w:rFonts w:ascii="Arial" w:hAnsi="Arial" w:cs="Arial"/>
                <w:color w:val="252525"/>
              </w:rPr>
              <w:t>%</w:t>
            </w:r>
          </w:p>
        </w:tc>
      </w:tr>
      <w:tr w:rsidR="00B54C20" w14:paraId="136BDC99" w14:textId="77777777" w:rsidTr="00B54C20">
        <w:tc>
          <w:tcPr>
            <w:tcW w:w="3192" w:type="dxa"/>
          </w:tcPr>
          <w:p w14:paraId="6A390AB4" w14:textId="77777777" w:rsidR="00B54C20" w:rsidRDefault="00214C5A" w:rsidP="00FC7863">
            <w:pPr>
              <w:widowControl w:val="0"/>
              <w:suppressAutoHyphens/>
              <w:autoSpaceDE w:val="0"/>
              <w:autoSpaceDN w:val="0"/>
              <w:adjustRightInd w:val="0"/>
              <w:rPr>
                <w:rFonts w:ascii="Arial" w:hAnsi="Arial" w:cs="Arial"/>
                <w:color w:val="252525"/>
              </w:rPr>
            </w:pPr>
            <w:r>
              <w:rPr>
                <w:rFonts w:ascii="Arial" w:hAnsi="Arial" w:cs="Arial"/>
                <w:color w:val="252525"/>
              </w:rPr>
              <w:t>Small Cap Domestic Equities</w:t>
            </w:r>
          </w:p>
        </w:tc>
        <w:tc>
          <w:tcPr>
            <w:tcW w:w="3192" w:type="dxa"/>
          </w:tcPr>
          <w:p w14:paraId="295C9D65" w14:textId="676E9A21" w:rsidR="00B54C20" w:rsidRDefault="00214C5A"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 xml:space="preserve">  </w:t>
            </w:r>
            <w:r w:rsidR="00496531">
              <w:rPr>
                <w:rFonts w:ascii="Arial" w:hAnsi="Arial" w:cs="Arial"/>
                <w:color w:val="252525"/>
              </w:rPr>
              <w:t>6</w:t>
            </w:r>
            <w:r w:rsidR="00B54C20">
              <w:rPr>
                <w:rFonts w:ascii="Arial" w:hAnsi="Arial" w:cs="Arial"/>
                <w:color w:val="252525"/>
              </w:rPr>
              <w:t>%</w:t>
            </w:r>
          </w:p>
        </w:tc>
        <w:tc>
          <w:tcPr>
            <w:tcW w:w="3192" w:type="dxa"/>
          </w:tcPr>
          <w:p w14:paraId="610EE4C9" w14:textId="33D233FE" w:rsidR="00B54C20" w:rsidRDefault="00B54C20" w:rsidP="00B54C20">
            <w:pPr>
              <w:widowControl w:val="0"/>
              <w:suppressAutoHyphens/>
              <w:autoSpaceDE w:val="0"/>
              <w:autoSpaceDN w:val="0"/>
              <w:adjustRightInd w:val="0"/>
              <w:rPr>
                <w:rFonts w:ascii="Arial" w:hAnsi="Arial" w:cs="Arial"/>
                <w:color w:val="252525"/>
              </w:rPr>
            </w:pPr>
            <w:r>
              <w:rPr>
                <w:rFonts w:ascii="Arial" w:hAnsi="Arial" w:cs="Arial"/>
                <w:color w:val="252525"/>
              </w:rPr>
              <w:t xml:space="preserve">                   </w:t>
            </w:r>
            <w:r w:rsidR="00E8184C">
              <w:rPr>
                <w:rFonts w:ascii="Arial" w:hAnsi="Arial" w:cs="Arial"/>
                <w:color w:val="252525"/>
              </w:rPr>
              <w:t>6.75</w:t>
            </w:r>
            <w:r>
              <w:rPr>
                <w:rFonts w:ascii="Arial" w:hAnsi="Arial" w:cs="Arial"/>
                <w:color w:val="252525"/>
              </w:rPr>
              <w:t>%</w:t>
            </w:r>
          </w:p>
        </w:tc>
      </w:tr>
      <w:tr w:rsidR="00B54C20" w14:paraId="7433BDCB" w14:textId="77777777" w:rsidTr="00B54C20">
        <w:tc>
          <w:tcPr>
            <w:tcW w:w="3192" w:type="dxa"/>
          </w:tcPr>
          <w:p w14:paraId="2BFA8A70" w14:textId="77777777" w:rsidR="00B54C20" w:rsidRDefault="00B54C20" w:rsidP="00FC7863">
            <w:pPr>
              <w:widowControl w:val="0"/>
              <w:suppressAutoHyphens/>
              <w:autoSpaceDE w:val="0"/>
              <w:autoSpaceDN w:val="0"/>
              <w:adjustRightInd w:val="0"/>
              <w:rPr>
                <w:rFonts w:ascii="Arial" w:hAnsi="Arial" w:cs="Arial"/>
                <w:color w:val="252525"/>
              </w:rPr>
            </w:pPr>
            <w:r>
              <w:rPr>
                <w:rFonts w:ascii="Arial" w:hAnsi="Arial" w:cs="Arial"/>
                <w:color w:val="252525"/>
              </w:rPr>
              <w:t>Domestic Fixed Income</w:t>
            </w:r>
          </w:p>
        </w:tc>
        <w:tc>
          <w:tcPr>
            <w:tcW w:w="3192" w:type="dxa"/>
          </w:tcPr>
          <w:p w14:paraId="459DAEA6" w14:textId="77777777" w:rsidR="00B54C20" w:rsidRDefault="00B54C20"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40%</w:t>
            </w:r>
          </w:p>
        </w:tc>
        <w:tc>
          <w:tcPr>
            <w:tcW w:w="3192" w:type="dxa"/>
          </w:tcPr>
          <w:p w14:paraId="4D41E67A" w14:textId="6127B511" w:rsidR="00B54C20" w:rsidRDefault="00B54C20" w:rsidP="002A6F17">
            <w:pPr>
              <w:widowControl w:val="0"/>
              <w:suppressAutoHyphens/>
              <w:autoSpaceDE w:val="0"/>
              <w:autoSpaceDN w:val="0"/>
              <w:adjustRightInd w:val="0"/>
              <w:rPr>
                <w:rFonts w:ascii="Arial" w:hAnsi="Arial" w:cs="Arial"/>
                <w:color w:val="252525"/>
              </w:rPr>
            </w:pPr>
            <w:r>
              <w:rPr>
                <w:rFonts w:ascii="Arial" w:hAnsi="Arial" w:cs="Arial"/>
                <w:color w:val="252525"/>
              </w:rPr>
              <w:t xml:space="preserve">                   </w:t>
            </w:r>
            <w:r w:rsidR="00E8184C">
              <w:rPr>
                <w:rFonts w:ascii="Arial" w:hAnsi="Arial" w:cs="Arial"/>
                <w:color w:val="252525"/>
              </w:rPr>
              <w:t>0.50</w:t>
            </w:r>
            <w:r>
              <w:rPr>
                <w:rFonts w:ascii="Arial" w:hAnsi="Arial" w:cs="Arial"/>
                <w:color w:val="252525"/>
              </w:rPr>
              <w:t>%</w:t>
            </w:r>
          </w:p>
        </w:tc>
      </w:tr>
      <w:tr w:rsidR="00B54C20" w14:paraId="7260CA30" w14:textId="77777777" w:rsidTr="00B54C20">
        <w:tc>
          <w:tcPr>
            <w:tcW w:w="3192" w:type="dxa"/>
          </w:tcPr>
          <w:p w14:paraId="00050F09" w14:textId="77777777" w:rsidR="00B54C20" w:rsidRDefault="00214C5A" w:rsidP="00FC7863">
            <w:pPr>
              <w:widowControl w:val="0"/>
              <w:suppressAutoHyphens/>
              <w:autoSpaceDE w:val="0"/>
              <w:autoSpaceDN w:val="0"/>
              <w:adjustRightInd w:val="0"/>
              <w:rPr>
                <w:rFonts w:ascii="Arial" w:hAnsi="Arial" w:cs="Arial"/>
                <w:color w:val="252525"/>
              </w:rPr>
            </w:pPr>
            <w:r>
              <w:rPr>
                <w:rFonts w:ascii="Arial" w:hAnsi="Arial" w:cs="Arial"/>
                <w:color w:val="252525"/>
              </w:rPr>
              <w:t>International Equities</w:t>
            </w:r>
          </w:p>
        </w:tc>
        <w:tc>
          <w:tcPr>
            <w:tcW w:w="3192" w:type="dxa"/>
          </w:tcPr>
          <w:p w14:paraId="5D1E6A2A" w14:textId="77777777" w:rsidR="00B54C20" w:rsidRDefault="00214C5A"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21%</w:t>
            </w:r>
          </w:p>
        </w:tc>
        <w:tc>
          <w:tcPr>
            <w:tcW w:w="3192" w:type="dxa"/>
          </w:tcPr>
          <w:p w14:paraId="72DBB94E" w14:textId="70768ECE" w:rsidR="00B54C20" w:rsidRDefault="00E8184C"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6.25</w:t>
            </w:r>
            <w:r w:rsidR="00214C5A">
              <w:rPr>
                <w:rFonts w:ascii="Arial" w:hAnsi="Arial" w:cs="Arial"/>
                <w:color w:val="252525"/>
              </w:rPr>
              <w:t>%</w:t>
            </w:r>
          </w:p>
        </w:tc>
      </w:tr>
    </w:tbl>
    <w:p w14:paraId="0639802A" w14:textId="77777777" w:rsidR="001E2E53" w:rsidRDefault="001E2E53" w:rsidP="00FC7863">
      <w:pPr>
        <w:widowControl w:val="0"/>
        <w:suppressAutoHyphens/>
        <w:autoSpaceDE w:val="0"/>
        <w:autoSpaceDN w:val="0"/>
        <w:adjustRightInd w:val="0"/>
        <w:spacing w:after="0" w:line="240" w:lineRule="auto"/>
        <w:rPr>
          <w:rFonts w:ascii="Arial" w:hAnsi="Arial" w:cs="Arial"/>
          <w:b/>
          <w:i/>
          <w:iCs/>
          <w:color w:val="252525"/>
        </w:rPr>
      </w:pPr>
    </w:p>
    <w:p w14:paraId="66F66DF3" w14:textId="30B76BE1" w:rsidR="005557E2" w:rsidRPr="005557E2" w:rsidRDefault="00F61E87" w:rsidP="005557E2">
      <w:pPr>
        <w:autoSpaceDE w:val="0"/>
        <w:autoSpaceDN w:val="0"/>
        <w:adjustRightInd w:val="0"/>
        <w:spacing w:after="0" w:line="240" w:lineRule="auto"/>
        <w:rPr>
          <w:rFonts w:ascii="ArialMT" w:hAnsi="ArialMT" w:cs="ArialMT"/>
        </w:rPr>
      </w:pPr>
      <w:r w:rsidRPr="00EE45ED">
        <w:rPr>
          <w:rFonts w:ascii="Arial" w:hAnsi="Arial" w:cs="Arial"/>
          <w:b/>
          <w:i/>
          <w:iCs/>
          <w:color w:val="252525"/>
        </w:rPr>
        <w:t>Discount rate</w:t>
      </w:r>
      <w:r w:rsidRPr="00EE45ED">
        <w:rPr>
          <w:rFonts w:ascii="Arial" w:hAnsi="Arial" w:cs="Arial"/>
          <w:b/>
          <w:color w:val="252525"/>
        </w:rPr>
        <w:t xml:space="preserve">. </w:t>
      </w:r>
      <w:r w:rsidR="005557E2" w:rsidRPr="00EE45ED">
        <w:rPr>
          <w:rFonts w:ascii="ArialMT" w:hAnsi="ArialMT" w:cs="ArialMT"/>
        </w:rPr>
        <w:t xml:space="preserve">The discount rate used to measure the </w:t>
      </w:r>
      <w:r w:rsidR="008F070B" w:rsidRPr="00EE45ED">
        <w:rPr>
          <w:rFonts w:ascii="ArialMT" w:hAnsi="ArialMT" w:cs="ArialMT"/>
        </w:rPr>
        <w:t xml:space="preserve">total OPEB liability was </w:t>
      </w:r>
      <w:r w:rsidR="00496531">
        <w:rPr>
          <w:rFonts w:ascii="ArialMT" w:hAnsi="ArialMT" w:cs="ArialMT"/>
        </w:rPr>
        <w:t>6.50</w:t>
      </w:r>
      <w:r w:rsidR="005557E2" w:rsidRPr="00EE45ED">
        <w:rPr>
          <w:rFonts w:ascii="ArialMT" w:hAnsi="ArialMT" w:cs="ArialMT"/>
        </w:rPr>
        <w:t>%. The projection of cash flows used to determine the</w:t>
      </w:r>
      <w:r w:rsidR="005557E2">
        <w:rPr>
          <w:rFonts w:ascii="ArialMT" w:hAnsi="ArialMT" w:cs="ArialMT"/>
        </w:rPr>
        <w:t xml:space="preserve"> discount rate assumed plan member and statutory</w:t>
      </w:r>
      <w:r w:rsidR="00E8184C">
        <w:rPr>
          <w:rFonts w:ascii="ArialMT" w:hAnsi="ArialMT" w:cs="ArialMT"/>
        </w:rPr>
        <w:t xml:space="preserve"> rates described in this report</w:t>
      </w:r>
      <w:r w:rsidR="005557E2">
        <w:rPr>
          <w:rFonts w:ascii="ArialMT" w:hAnsi="ArialMT" w:cs="ArialMT"/>
        </w:rPr>
        <w:t>. For this purpose, only employer contributions that are intended to fund benefits of current RHIC members and their beneficiaries are included. Projected employer contributions that are intended to fund the service costs of future plan members and their beneficiaries are not included. Based on those assumptions, the RHIC fiduciary net position was projected to be sufficient to make all projected future benefit payments of current plan members. Therefore, the long-term expected rate of return on RHIC investments was applied to all periods of projected benefit payments to determine the total OPEB liability.</w:t>
      </w:r>
    </w:p>
    <w:p w14:paraId="16E4E0F1" w14:textId="77777777" w:rsidR="002A7845" w:rsidRDefault="00F61E87" w:rsidP="00231F49">
      <w:pPr>
        <w:autoSpaceDE w:val="0"/>
        <w:autoSpaceDN w:val="0"/>
        <w:adjustRightInd w:val="0"/>
        <w:spacing w:after="0" w:line="240" w:lineRule="auto"/>
        <w:rPr>
          <w:rFonts w:ascii="Arial" w:hAnsi="Arial" w:cs="Arial"/>
          <w:b/>
          <w:i/>
          <w:color w:val="000000" w:themeColor="text1"/>
          <w:sz w:val="20"/>
          <w:szCs w:val="20"/>
        </w:rPr>
      </w:pPr>
      <w:r w:rsidRPr="00CA65EF">
        <w:rPr>
          <w:rFonts w:ascii="Arial" w:hAnsi="Arial" w:cs="Arial"/>
          <w:color w:val="A6A6A6" w:themeColor="background1" w:themeShade="A6"/>
        </w:rPr>
        <w:t>[If there had been a change in the discount rate since the prior measurement date, t</w:t>
      </w:r>
      <w:r w:rsidR="00511189">
        <w:rPr>
          <w:rFonts w:ascii="Arial" w:hAnsi="Arial" w:cs="Arial"/>
          <w:color w:val="A6A6A6" w:themeColor="background1" w:themeShade="A6"/>
        </w:rPr>
        <w:t>he Employer</w:t>
      </w:r>
      <w:r w:rsidRPr="00CA65EF">
        <w:rPr>
          <w:rFonts w:ascii="Arial" w:hAnsi="Arial" w:cs="Arial"/>
          <w:color w:val="A6A6A6" w:themeColor="background1" w:themeShade="A6"/>
        </w:rPr>
        <w:t xml:space="preserve"> should disclose information about that change, as required by paragraph 78a of Statement</w:t>
      </w:r>
      <w:r w:rsidR="00511189">
        <w:rPr>
          <w:rFonts w:ascii="Arial" w:hAnsi="Arial" w:cs="Arial"/>
          <w:color w:val="A6A6A6" w:themeColor="background1" w:themeShade="A6"/>
        </w:rPr>
        <w:t xml:space="preserve"> 68</w:t>
      </w:r>
      <w:r w:rsidRPr="00CA65EF">
        <w:rPr>
          <w:rFonts w:ascii="Arial" w:hAnsi="Arial" w:cs="Arial"/>
          <w:color w:val="A6A6A6" w:themeColor="background1" w:themeShade="A6"/>
        </w:rPr>
        <w:t>.]</w:t>
      </w:r>
      <w:r w:rsidR="00511189">
        <w:rPr>
          <w:rFonts w:ascii="Arial" w:hAnsi="Arial" w:cs="Arial"/>
          <w:color w:val="A6A6A6" w:themeColor="background1" w:themeShade="A6"/>
        </w:rPr>
        <w:t xml:space="preserve"> </w:t>
      </w:r>
    </w:p>
    <w:p w14:paraId="4E2E67DA" w14:textId="77777777" w:rsidR="00CA65EF" w:rsidRPr="00CA65EF" w:rsidRDefault="00CA65EF" w:rsidP="00FC7863">
      <w:pPr>
        <w:widowControl w:val="0"/>
        <w:suppressAutoHyphens/>
        <w:autoSpaceDE w:val="0"/>
        <w:autoSpaceDN w:val="0"/>
        <w:adjustRightInd w:val="0"/>
        <w:spacing w:after="0" w:line="240" w:lineRule="auto"/>
        <w:rPr>
          <w:rFonts w:ascii="Arial" w:hAnsi="Arial" w:cs="Arial"/>
          <w:color w:val="A6A6A6" w:themeColor="background1" w:themeShade="A6"/>
        </w:rPr>
      </w:pPr>
    </w:p>
    <w:p w14:paraId="7D4DECF5" w14:textId="77777777" w:rsidR="00E8184C" w:rsidRDefault="00E8184C" w:rsidP="005557E2">
      <w:pPr>
        <w:autoSpaceDE w:val="0"/>
        <w:autoSpaceDN w:val="0"/>
        <w:adjustRightInd w:val="0"/>
        <w:spacing w:after="0" w:line="240" w:lineRule="auto"/>
        <w:rPr>
          <w:rFonts w:ascii="Arial" w:hAnsi="Arial" w:cs="Arial"/>
          <w:b/>
          <w:i/>
          <w:iCs/>
          <w:color w:val="252525"/>
        </w:rPr>
      </w:pPr>
    </w:p>
    <w:p w14:paraId="5A317001" w14:textId="77777777" w:rsidR="00E8184C" w:rsidRDefault="00E8184C" w:rsidP="005557E2">
      <w:pPr>
        <w:autoSpaceDE w:val="0"/>
        <w:autoSpaceDN w:val="0"/>
        <w:adjustRightInd w:val="0"/>
        <w:spacing w:after="0" w:line="240" w:lineRule="auto"/>
        <w:rPr>
          <w:rFonts w:ascii="Arial" w:hAnsi="Arial" w:cs="Arial"/>
          <w:b/>
          <w:i/>
          <w:iCs/>
          <w:color w:val="252525"/>
        </w:rPr>
      </w:pPr>
    </w:p>
    <w:p w14:paraId="6552F786" w14:textId="31886FB0" w:rsidR="002A7845" w:rsidRPr="005557E2" w:rsidRDefault="00F61E87" w:rsidP="005557E2">
      <w:pPr>
        <w:autoSpaceDE w:val="0"/>
        <w:autoSpaceDN w:val="0"/>
        <w:adjustRightInd w:val="0"/>
        <w:spacing w:after="0" w:line="240" w:lineRule="auto"/>
        <w:rPr>
          <w:rFonts w:ascii="ArialMT" w:hAnsi="ArialMT" w:cs="ArialMT"/>
        </w:rPr>
      </w:pPr>
      <w:r w:rsidRPr="00FC7863">
        <w:rPr>
          <w:rFonts w:ascii="Arial" w:hAnsi="Arial" w:cs="Arial"/>
          <w:b/>
          <w:i/>
          <w:iCs/>
          <w:color w:val="252525"/>
        </w:rPr>
        <w:lastRenderedPageBreak/>
        <w:t xml:space="preserve">Sensitivity of the </w:t>
      </w:r>
      <w:r w:rsidR="00E83725">
        <w:rPr>
          <w:rFonts w:ascii="Arial" w:hAnsi="Arial" w:cs="Arial"/>
          <w:b/>
          <w:i/>
          <w:iCs/>
          <w:color w:val="252525"/>
        </w:rPr>
        <w:t>Employer</w:t>
      </w:r>
      <w:r w:rsidRPr="00FC7863">
        <w:rPr>
          <w:rFonts w:ascii="Arial" w:hAnsi="Arial" w:cs="Arial"/>
          <w:b/>
          <w:i/>
          <w:iCs/>
          <w:color w:val="252525"/>
        </w:rPr>
        <w:t xml:space="preserve">'s proportionate share of the net </w:t>
      </w:r>
      <w:r w:rsidR="00951F49">
        <w:rPr>
          <w:rFonts w:ascii="Arial" w:hAnsi="Arial" w:cs="Arial"/>
          <w:b/>
          <w:i/>
          <w:iCs/>
          <w:color w:val="252525"/>
        </w:rPr>
        <w:t>OPEB</w:t>
      </w:r>
      <w:r w:rsidRPr="00FC7863">
        <w:rPr>
          <w:rFonts w:ascii="Arial" w:hAnsi="Arial" w:cs="Arial"/>
          <w:b/>
          <w:i/>
          <w:iCs/>
          <w:color w:val="252525"/>
        </w:rPr>
        <w:t xml:space="preserve"> liability to changes in the discount rate</w:t>
      </w:r>
      <w:r w:rsidR="00413729">
        <w:rPr>
          <w:rFonts w:ascii="Arial" w:hAnsi="Arial" w:cs="Arial"/>
          <w:b/>
          <w:color w:val="252525"/>
        </w:rPr>
        <w:t>.</w:t>
      </w:r>
      <w:r w:rsidR="00CA65EF">
        <w:rPr>
          <w:rFonts w:ascii="Arial" w:hAnsi="Arial" w:cs="Arial"/>
          <w:color w:val="FF0000"/>
        </w:rPr>
        <w:t xml:space="preserve"> </w:t>
      </w:r>
      <w:r w:rsidR="005557E2">
        <w:rPr>
          <w:rFonts w:ascii="ArialMT" w:hAnsi="ArialMT" w:cs="ArialMT"/>
        </w:rPr>
        <w:t>The following presents the net OPEB liability of the Plans as of June 30, 20</w:t>
      </w:r>
      <w:r w:rsidR="00496531">
        <w:rPr>
          <w:rFonts w:ascii="ArialMT" w:hAnsi="ArialMT" w:cs="ArialMT"/>
        </w:rPr>
        <w:t>2</w:t>
      </w:r>
      <w:r w:rsidR="00E8184C">
        <w:rPr>
          <w:rFonts w:ascii="ArialMT" w:hAnsi="ArialMT" w:cs="ArialMT"/>
        </w:rPr>
        <w:t>1</w:t>
      </w:r>
      <w:r w:rsidR="00EE45ED">
        <w:rPr>
          <w:rFonts w:ascii="ArialMT" w:hAnsi="ArialMT" w:cs="ArialMT"/>
        </w:rPr>
        <w:t xml:space="preserve">, </w:t>
      </w:r>
      <w:r w:rsidR="005557E2">
        <w:rPr>
          <w:rFonts w:ascii="ArialMT" w:hAnsi="ArialMT" w:cs="ArialMT"/>
        </w:rPr>
        <w:t xml:space="preserve">calculated using the discount rate of </w:t>
      </w:r>
      <w:r w:rsidR="00496531">
        <w:rPr>
          <w:rFonts w:ascii="ArialMT" w:hAnsi="ArialMT" w:cs="ArialMT"/>
        </w:rPr>
        <w:t>6.50</w:t>
      </w:r>
      <w:r w:rsidR="005557E2">
        <w:rPr>
          <w:rFonts w:ascii="ArialMT" w:hAnsi="ArialMT" w:cs="ArialMT"/>
        </w:rPr>
        <w:t>%, as well as what the RHIC net OPEB liability would be if it were calculated using a discount rate that is 1-percentage-point lower (</w:t>
      </w:r>
      <w:r w:rsidR="00496531">
        <w:rPr>
          <w:rFonts w:ascii="ArialMT" w:hAnsi="ArialMT" w:cs="ArialMT"/>
        </w:rPr>
        <w:t>5.50</w:t>
      </w:r>
      <w:r w:rsidR="005557E2">
        <w:rPr>
          <w:rFonts w:ascii="ArialMT" w:hAnsi="ArialMT" w:cs="ArialMT"/>
        </w:rPr>
        <w:t xml:space="preserve"> percent) or 1-percentage-point higher (</w:t>
      </w:r>
      <w:r w:rsidR="00496531">
        <w:rPr>
          <w:rFonts w:ascii="ArialMT" w:hAnsi="ArialMT" w:cs="ArialMT"/>
        </w:rPr>
        <w:t>7.50</w:t>
      </w:r>
      <w:r w:rsidR="005557E2">
        <w:rPr>
          <w:rFonts w:ascii="ArialMT" w:hAnsi="ArialMT" w:cs="ArialMT"/>
        </w:rPr>
        <w:t xml:space="preserve"> percent) than the current rate:</w:t>
      </w:r>
      <w:r w:rsidR="005557E2" w:rsidRPr="00ED4181">
        <w:rPr>
          <w:rFonts w:ascii="Arial" w:hAnsi="Arial" w:cs="Arial"/>
          <w:color w:val="FF0000"/>
        </w:rPr>
        <w:t xml:space="preserve"> </w:t>
      </w:r>
      <w:r w:rsidR="001C3013" w:rsidRPr="00ED4181">
        <w:rPr>
          <w:rFonts w:ascii="Arial" w:hAnsi="Arial" w:cs="Arial"/>
          <w:color w:val="FF0000"/>
        </w:rPr>
        <w:t>(</w:t>
      </w:r>
      <w:r w:rsidR="0027696B" w:rsidRPr="00ED4181">
        <w:rPr>
          <w:rFonts w:ascii="Arial" w:hAnsi="Arial" w:cs="Arial"/>
          <w:color w:val="FF0000"/>
        </w:rPr>
        <w:t xml:space="preserve">from </w:t>
      </w:r>
      <w:r w:rsidR="00864FB4">
        <w:rPr>
          <w:rFonts w:ascii="Arial" w:hAnsi="Arial" w:cs="Arial"/>
          <w:color w:val="FF0000"/>
        </w:rPr>
        <w:t>Section</w:t>
      </w:r>
      <w:r w:rsidR="00ED4181" w:rsidRPr="00ED4181">
        <w:rPr>
          <w:rFonts w:ascii="Arial" w:hAnsi="Arial" w:cs="Arial"/>
          <w:color w:val="FF0000"/>
        </w:rPr>
        <w:t xml:space="preserve"> </w:t>
      </w:r>
      <w:r w:rsidR="0022661E">
        <w:rPr>
          <w:rFonts w:ascii="Arial" w:hAnsi="Arial" w:cs="Arial"/>
          <w:color w:val="FF0000"/>
        </w:rPr>
        <w:t>E</w:t>
      </w:r>
      <w:r w:rsidR="00864FB4">
        <w:rPr>
          <w:rFonts w:ascii="Arial" w:hAnsi="Arial" w:cs="Arial"/>
          <w:color w:val="FF0000"/>
        </w:rPr>
        <w:t xml:space="preserve">, </w:t>
      </w:r>
      <w:r w:rsidR="0022661E">
        <w:rPr>
          <w:rFonts w:ascii="Arial" w:hAnsi="Arial" w:cs="Arial"/>
          <w:color w:val="FF0000"/>
        </w:rPr>
        <w:t xml:space="preserve">Net </w:t>
      </w:r>
      <w:r w:rsidR="005557E2">
        <w:rPr>
          <w:rFonts w:ascii="Arial" w:hAnsi="Arial" w:cs="Arial"/>
          <w:color w:val="FF0000"/>
        </w:rPr>
        <w:t>OPEB</w:t>
      </w:r>
      <w:r w:rsidR="0022661E">
        <w:rPr>
          <w:rFonts w:ascii="Arial" w:hAnsi="Arial" w:cs="Arial"/>
          <w:color w:val="FF0000"/>
        </w:rPr>
        <w:t xml:space="preserve"> Liability Discount Rate Sensitivity by Employer)</w:t>
      </w:r>
    </w:p>
    <w:p w14:paraId="3AEECE02"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bl>
      <w:tblPr>
        <w:tblW w:w="0" w:type="auto"/>
        <w:tblInd w:w="20" w:type="dxa"/>
        <w:tblLayout w:type="fixed"/>
        <w:tblCellMar>
          <w:left w:w="0" w:type="dxa"/>
          <w:right w:w="0" w:type="dxa"/>
        </w:tblCellMar>
        <w:tblLook w:val="0000" w:firstRow="0" w:lastRow="0" w:firstColumn="0" w:lastColumn="0" w:noHBand="0" w:noVBand="0"/>
      </w:tblPr>
      <w:tblGrid>
        <w:gridCol w:w="2340"/>
        <w:gridCol w:w="2340"/>
        <w:gridCol w:w="2340"/>
        <w:gridCol w:w="2340"/>
      </w:tblGrid>
      <w:tr w:rsidR="002A7845" w:rsidRPr="00FC7863" w14:paraId="68BBD891" w14:textId="77777777">
        <w:tc>
          <w:tcPr>
            <w:tcW w:w="2340" w:type="dxa"/>
            <w:tcBorders>
              <w:top w:val="nil"/>
              <w:left w:val="nil"/>
              <w:bottom w:val="nil"/>
              <w:right w:val="nil"/>
            </w:tcBorders>
            <w:tcMar>
              <w:top w:w="20" w:type="dxa"/>
              <w:left w:w="20" w:type="dxa"/>
              <w:bottom w:w="20" w:type="dxa"/>
              <w:right w:w="20" w:type="dxa"/>
            </w:tcMar>
            <w:vAlign w:val="bottom"/>
          </w:tcPr>
          <w:p w14:paraId="76620601"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2340" w:type="dxa"/>
            <w:tcBorders>
              <w:top w:val="nil"/>
              <w:left w:val="nil"/>
              <w:bottom w:val="nil"/>
              <w:right w:val="nil"/>
            </w:tcBorders>
            <w:tcMar>
              <w:top w:w="20" w:type="dxa"/>
              <w:left w:w="20" w:type="dxa"/>
              <w:bottom w:w="20" w:type="dxa"/>
              <w:right w:w="20" w:type="dxa"/>
            </w:tcMar>
            <w:vAlign w:val="bottom"/>
          </w:tcPr>
          <w:p w14:paraId="298D480E" w14:textId="3819DC2E"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Decrease (</w:t>
            </w:r>
            <w:r w:rsidR="00496531">
              <w:rPr>
                <w:rFonts w:ascii="Arial" w:hAnsi="Arial" w:cs="Arial"/>
                <w:b/>
                <w:bCs/>
                <w:color w:val="252525"/>
              </w:rPr>
              <w:t>5</w:t>
            </w:r>
            <w:r w:rsidR="005557E2">
              <w:rPr>
                <w:rFonts w:ascii="Arial" w:hAnsi="Arial" w:cs="Arial"/>
                <w:b/>
                <w:bCs/>
                <w:color w:val="252525"/>
              </w:rPr>
              <w:t>.5</w:t>
            </w:r>
            <w:r w:rsidR="00496531">
              <w:rPr>
                <w:rFonts w:ascii="Arial" w:hAnsi="Arial" w:cs="Arial"/>
                <w:b/>
                <w:bCs/>
                <w:color w:val="252525"/>
              </w:rPr>
              <w:t>0</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14:paraId="2C1205F2" w14:textId="583AE955"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Current Discount Rate (</w:t>
            </w:r>
            <w:r w:rsidR="00496531">
              <w:rPr>
                <w:rFonts w:ascii="Arial" w:hAnsi="Arial" w:cs="Arial"/>
                <w:b/>
                <w:bCs/>
                <w:color w:val="252525"/>
              </w:rPr>
              <w:t>6.50</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14:paraId="4A7AEBFB" w14:textId="3DB521B2"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Increase (</w:t>
            </w:r>
            <w:r w:rsidR="00496531">
              <w:rPr>
                <w:rFonts w:ascii="Arial" w:hAnsi="Arial" w:cs="Arial"/>
                <w:b/>
                <w:bCs/>
                <w:color w:val="252525"/>
              </w:rPr>
              <w:t>7.50</w:t>
            </w:r>
            <w:r w:rsidRPr="00413729">
              <w:rPr>
                <w:rFonts w:ascii="Arial" w:hAnsi="Arial" w:cs="Arial"/>
                <w:b/>
                <w:bCs/>
                <w:color w:val="252525"/>
              </w:rPr>
              <w:t>%)</w:t>
            </w:r>
          </w:p>
        </w:tc>
      </w:tr>
      <w:tr w:rsidR="002A7845" w:rsidRPr="00FC7863" w14:paraId="60166360" w14:textId="77777777">
        <w:tc>
          <w:tcPr>
            <w:tcW w:w="2340" w:type="dxa"/>
            <w:tcBorders>
              <w:top w:val="nil"/>
              <w:left w:val="nil"/>
              <w:bottom w:val="nil"/>
              <w:right w:val="nil"/>
            </w:tcBorders>
            <w:tcMar>
              <w:top w:w="20" w:type="dxa"/>
              <w:left w:w="20" w:type="dxa"/>
              <w:bottom w:w="20" w:type="dxa"/>
              <w:right w:w="20" w:type="dxa"/>
            </w:tcMar>
            <w:vAlign w:val="bottom"/>
          </w:tcPr>
          <w:p w14:paraId="09703175" w14:textId="77777777" w:rsidR="002A7845" w:rsidRPr="00FC7863" w:rsidRDefault="00AC64DF" w:rsidP="00AC64DF">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Employer</w:t>
            </w:r>
            <w:r w:rsidR="00F61E87" w:rsidRPr="00FC7863">
              <w:rPr>
                <w:rFonts w:ascii="Arial" w:hAnsi="Arial" w:cs="Arial"/>
                <w:color w:val="252525"/>
              </w:rPr>
              <w:t xml:space="preserve">'s proportionate share of the net </w:t>
            </w:r>
            <w:r w:rsidR="00951F49">
              <w:rPr>
                <w:rFonts w:ascii="Arial" w:hAnsi="Arial" w:cs="Arial"/>
                <w:color w:val="252525"/>
              </w:rPr>
              <w:t>OPEB</w:t>
            </w:r>
            <w:r w:rsidR="00F61E87" w:rsidRPr="00FC7863">
              <w:rPr>
                <w:rFonts w:ascii="Arial" w:hAnsi="Arial" w:cs="Arial"/>
                <w:color w:val="252525"/>
              </w:rPr>
              <w:t xml:space="preserve"> liability</w:t>
            </w:r>
          </w:p>
        </w:tc>
        <w:tc>
          <w:tcPr>
            <w:tcW w:w="2340" w:type="dxa"/>
            <w:tcBorders>
              <w:top w:val="nil"/>
              <w:left w:val="nil"/>
              <w:bottom w:val="nil"/>
              <w:right w:val="nil"/>
            </w:tcBorders>
            <w:tcMar>
              <w:top w:w="20" w:type="dxa"/>
              <w:left w:w="20" w:type="dxa"/>
              <w:bottom w:w="20" w:type="dxa"/>
              <w:right w:w="20" w:type="dxa"/>
            </w:tcMar>
            <w:vAlign w:val="bottom"/>
          </w:tcPr>
          <w:p w14:paraId="302615DE" w14:textId="77777777"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c>
          <w:tcPr>
            <w:tcW w:w="2340" w:type="dxa"/>
            <w:tcBorders>
              <w:top w:val="nil"/>
              <w:left w:val="nil"/>
              <w:bottom w:val="nil"/>
              <w:right w:val="nil"/>
            </w:tcBorders>
            <w:tcMar>
              <w:top w:w="20" w:type="dxa"/>
              <w:left w:w="20" w:type="dxa"/>
              <w:bottom w:w="20" w:type="dxa"/>
              <w:right w:w="20" w:type="dxa"/>
            </w:tcMar>
            <w:vAlign w:val="bottom"/>
          </w:tcPr>
          <w:p w14:paraId="4021C09D" w14:textId="77777777"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c>
          <w:tcPr>
            <w:tcW w:w="2340" w:type="dxa"/>
            <w:tcBorders>
              <w:top w:val="nil"/>
              <w:left w:val="nil"/>
              <w:bottom w:val="nil"/>
              <w:right w:val="nil"/>
            </w:tcBorders>
            <w:tcMar>
              <w:top w:w="20" w:type="dxa"/>
              <w:left w:w="20" w:type="dxa"/>
              <w:bottom w:w="20" w:type="dxa"/>
              <w:right w:w="20" w:type="dxa"/>
            </w:tcMar>
            <w:vAlign w:val="bottom"/>
          </w:tcPr>
          <w:p w14:paraId="69E70E24" w14:textId="77777777"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r>
    </w:tbl>
    <w:p w14:paraId="55EF5415"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14:paraId="59798D48"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14:paraId="272DF353" w14:textId="77777777" w:rsidR="00855ADA" w:rsidRPr="00DD56B1" w:rsidRDefault="00855ADA" w:rsidP="00855ADA">
      <w:pPr>
        <w:widowControl w:val="0"/>
        <w:suppressAutoHyphens/>
        <w:autoSpaceDE w:val="0"/>
        <w:autoSpaceDN w:val="0"/>
        <w:adjustRightInd w:val="0"/>
        <w:spacing w:after="0" w:line="240" w:lineRule="auto"/>
        <w:jc w:val="center"/>
        <w:rPr>
          <w:rFonts w:ascii="Arial" w:hAnsi="Arial" w:cs="Arial"/>
          <w:b/>
          <w:color w:val="252525"/>
          <w:sz w:val="28"/>
          <w:szCs w:val="28"/>
        </w:rPr>
      </w:pPr>
      <w:r w:rsidRPr="00DD56B1">
        <w:rPr>
          <w:rFonts w:ascii="Arial" w:hAnsi="Arial" w:cs="Arial"/>
          <w:b/>
          <w:color w:val="252525"/>
          <w:sz w:val="28"/>
          <w:szCs w:val="28"/>
        </w:rPr>
        <w:t>Schedules of Required Supplementary Information</w:t>
      </w:r>
    </w:p>
    <w:p w14:paraId="28DC8DC5" w14:textId="77777777" w:rsidR="00855ADA" w:rsidRPr="00855ADA" w:rsidRDefault="00855ADA" w:rsidP="00FC7863">
      <w:pPr>
        <w:widowControl w:val="0"/>
        <w:suppressAutoHyphens/>
        <w:autoSpaceDE w:val="0"/>
        <w:autoSpaceDN w:val="0"/>
        <w:adjustRightInd w:val="0"/>
        <w:spacing w:after="0" w:line="240" w:lineRule="auto"/>
        <w:rPr>
          <w:rFonts w:ascii="Arial" w:hAnsi="Arial" w:cs="Arial"/>
          <w:b/>
          <w:color w:val="252525"/>
        </w:rPr>
      </w:pPr>
    </w:p>
    <w:p w14:paraId="30379782"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 xml:space="preserve">Schedule of </w:t>
      </w:r>
      <w:r w:rsidR="00DD56B1">
        <w:rPr>
          <w:rFonts w:ascii="Arial" w:hAnsi="Arial" w:cs="Arial"/>
          <w:b/>
          <w:color w:val="252525"/>
        </w:rPr>
        <w:t>Employer</w:t>
      </w:r>
      <w:r w:rsidRPr="00855ADA">
        <w:rPr>
          <w:rFonts w:ascii="Arial" w:hAnsi="Arial" w:cs="Arial"/>
          <w:b/>
          <w:color w:val="252525"/>
        </w:rPr>
        <w:t xml:space="preserve">’s Share of Net </w:t>
      </w:r>
      <w:r w:rsidR="005557E2">
        <w:rPr>
          <w:rFonts w:ascii="Arial" w:hAnsi="Arial" w:cs="Arial"/>
          <w:b/>
          <w:color w:val="252525"/>
        </w:rPr>
        <w:t>OPEB</w:t>
      </w:r>
      <w:r w:rsidRPr="00855ADA">
        <w:rPr>
          <w:rFonts w:ascii="Arial" w:hAnsi="Arial" w:cs="Arial"/>
          <w:b/>
          <w:color w:val="252525"/>
        </w:rPr>
        <w:t xml:space="preserve"> Liability</w:t>
      </w:r>
    </w:p>
    <w:p w14:paraId="5FBC2101" w14:textId="77777777" w:rsidR="00855ADA" w:rsidRPr="00855ADA" w:rsidRDefault="001F009F" w:rsidP="00855ADA">
      <w:pPr>
        <w:widowControl w:val="0"/>
        <w:suppressAutoHyphens/>
        <w:autoSpaceDE w:val="0"/>
        <w:autoSpaceDN w:val="0"/>
        <w:adjustRightInd w:val="0"/>
        <w:spacing w:after="0" w:line="240" w:lineRule="auto"/>
        <w:jc w:val="center"/>
        <w:rPr>
          <w:rFonts w:ascii="Arial" w:hAnsi="Arial" w:cs="Arial"/>
          <w:b/>
          <w:color w:val="252525"/>
        </w:rPr>
      </w:pPr>
      <w:r>
        <w:rPr>
          <w:rFonts w:ascii="Arial" w:hAnsi="Arial" w:cs="Arial"/>
          <w:b/>
          <w:color w:val="252525"/>
        </w:rPr>
        <w:t>ND Public Employees Retirement System</w:t>
      </w:r>
    </w:p>
    <w:p w14:paraId="4F4B07D7"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14:paraId="0C78B334"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color w:val="FF0000"/>
        </w:rPr>
      </w:pPr>
      <w:r w:rsidRPr="007E3950">
        <w:rPr>
          <w:rFonts w:ascii="Arial" w:hAnsi="Arial" w:cs="Arial"/>
          <w:color w:val="FF0000"/>
        </w:rPr>
        <w:t xml:space="preserve">(from </w:t>
      </w:r>
      <w:r w:rsidR="00F11639">
        <w:rPr>
          <w:rFonts w:ascii="Arial" w:hAnsi="Arial" w:cs="Arial"/>
          <w:color w:val="FF0000"/>
        </w:rPr>
        <w:t xml:space="preserve">Section </w:t>
      </w:r>
      <w:r w:rsidR="0022661E">
        <w:rPr>
          <w:rFonts w:ascii="Arial" w:hAnsi="Arial" w:cs="Arial"/>
          <w:color w:val="FF0000"/>
        </w:rPr>
        <w:t xml:space="preserve">E Schedule of Net </w:t>
      </w:r>
      <w:r w:rsidR="00951F49">
        <w:rPr>
          <w:rFonts w:ascii="Arial" w:hAnsi="Arial" w:cs="Arial"/>
          <w:color w:val="FF0000"/>
        </w:rPr>
        <w:t>OPEB</w:t>
      </w:r>
      <w:r w:rsidR="0022661E">
        <w:rPr>
          <w:rFonts w:ascii="Arial" w:hAnsi="Arial" w:cs="Arial"/>
          <w:color w:val="FF0000"/>
        </w:rPr>
        <w:t xml:space="preserve"> Liability by Employer</w:t>
      </w:r>
      <w:r w:rsidRPr="007E3950">
        <w:rPr>
          <w:rFonts w:ascii="Arial" w:hAnsi="Arial" w:cs="Arial"/>
          <w:color w:val="FF0000"/>
        </w:rPr>
        <w:t>)</w:t>
      </w:r>
    </w:p>
    <w:p w14:paraId="0D7F7B2E" w14:textId="77777777" w:rsidR="00855ADA" w:rsidRDefault="00855ADA" w:rsidP="00FC7863">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4788"/>
        <w:gridCol w:w="4050"/>
      </w:tblGrid>
      <w:tr w:rsidR="00855ADA" w14:paraId="4DCBAAEF" w14:textId="77777777" w:rsidTr="000C1916">
        <w:tc>
          <w:tcPr>
            <w:tcW w:w="4788" w:type="dxa"/>
          </w:tcPr>
          <w:p w14:paraId="6EA54A68" w14:textId="77777777" w:rsidR="00855ADA" w:rsidRDefault="00855ADA" w:rsidP="00FC7863">
            <w:pPr>
              <w:widowControl w:val="0"/>
              <w:suppressAutoHyphens/>
              <w:autoSpaceDE w:val="0"/>
              <w:autoSpaceDN w:val="0"/>
              <w:adjustRightInd w:val="0"/>
              <w:rPr>
                <w:rFonts w:ascii="Arial" w:hAnsi="Arial" w:cs="Arial"/>
                <w:color w:val="252525"/>
              </w:rPr>
            </w:pPr>
          </w:p>
        </w:tc>
        <w:tc>
          <w:tcPr>
            <w:tcW w:w="4050" w:type="dxa"/>
          </w:tcPr>
          <w:p w14:paraId="5624688C" w14:textId="332E6048" w:rsidR="00855ADA" w:rsidRDefault="001272E5" w:rsidP="00855ADA">
            <w:pPr>
              <w:widowControl w:val="0"/>
              <w:suppressAutoHyphens/>
              <w:autoSpaceDE w:val="0"/>
              <w:autoSpaceDN w:val="0"/>
              <w:adjustRightInd w:val="0"/>
              <w:jc w:val="center"/>
              <w:rPr>
                <w:rFonts w:ascii="Arial" w:hAnsi="Arial" w:cs="Arial"/>
                <w:color w:val="252525"/>
              </w:rPr>
            </w:pPr>
            <w:r>
              <w:rPr>
                <w:rFonts w:ascii="Arial" w:hAnsi="Arial" w:cs="Arial"/>
                <w:color w:val="252525"/>
              </w:rPr>
              <w:t>20</w:t>
            </w:r>
            <w:r w:rsidR="00EE45ED">
              <w:rPr>
                <w:rFonts w:ascii="Arial" w:hAnsi="Arial" w:cs="Arial"/>
                <w:color w:val="252525"/>
              </w:rPr>
              <w:t>2</w:t>
            </w:r>
            <w:r w:rsidR="00E8184C">
              <w:rPr>
                <w:rFonts w:ascii="Arial" w:hAnsi="Arial" w:cs="Arial"/>
                <w:color w:val="252525"/>
              </w:rPr>
              <w:t>2</w:t>
            </w:r>
          </w:p>
        </w:tc>
      </w:tr>
      <w:tr w:rsidR="00855ADA" w14:paraId="32DB1A18" w14:textId="77777777" w:rsidTr="00404677">
        <w:trPr>
          <w:trHeight w:val="620"/>
        </w:trPr>
        <w:tc>
          <w:tcPr>
            <w:tcW w:w="4788" w:type="dxa"/>
          </w:tcPr>
          <w:p w14:paraId="19697821" w14:textId="77777777"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 xml:space="preserve">’s proportion of the net </w:t>
            </w:r>
            <w:r w:rsidR="005557E2">
              <w:rPr>
                <w:rFonts w:ascii="Arial" w:hAnsi="Arial" w:cs="Arial"/>
                <w:color w:val="252525"/>
              </w:rPr>
              <w:t>OPEB</w:t>
            </w:r>
            <w:r w:rsidR="00855ADA">
              <w:rPr>
                <w:rFonts w:ascii="Arial" w:hAnsi="Arial" w:cs="Arial"/>
                <w:color w:val="252525"/>
              </w:rPr>
              <w:t xml:space="preserve"> liability (asset)</w:t>
            </w:r>
          </w:p>
        </w:tc>
        <w:tc>
          <w:tcPr>
            <w:tcW w:w="4050" w:type="dxa"/>
            <w:vAlign w:val="center"/>
          </w:tcPr>
          <w:p w14:paraId="7E3253A4" w14:textId="77777777" w:rsidR="00055FAA" w:rsidRDefault="00E83725" w:rsidP="00055FAA">
            <w:pPr>
              <w:widowControl w:val="0"/>
              <w:suppressAutoHyphens/>
              <w:autoSpaceDE w:val="0"/>
              <w:autoSpaceDN w:val="0"/>
              <w:adjustRightInd w:val="0"/>
              <w:rPr>
                <w:rFonts w:ascii="Arial" w:hAnsi="Arial" w:cs="Arial"/>
                <w:color w:val="252525"/>
              </w:rPr>
            </w:pPr>
            <w:r>
              <w:rPr>
                <w:rFonts w:ascii="Arial" w:hAnsi="Arial" w:cs="Arial"/>
                <w:color w:val="252525"/>
                <w:highlight w:val="yellow"/>
              </w:rPr>
              <w:t>XX.XXXXXX</w:t>
            </w:r>
            <w:r w:rsidR="00DD56B1" w:rsidRPr="000F74EB">
              <w:rPr>
                <w:rFonts w:ascii="Arial" w:hAnsi="Arial" w:cs="Arial"/>
                <w:color w:val="252525"/>
                <w:highlight w:val="yellow"/>
              </w:rPr>
              <w:t>%</w:t>
            </w:r>
            <w:r w:rsidR="000C1916" w:rsidRPr="000C1916">
              <w:rPr>
                <w:rFonts w:ascii="Arial" w:hAnsi="Arial" w:cs="Arial"/>
                <w:color w:val="252525"/>
              </w:rPr>
              <w:t xml:space="preserve">  </w:t>
            </w:r>
            <w:r w:rsidR="00404677">
              <w:rPr>
                <w:rFonts w:ascii="Arial" w:hAnsi="Arial" w:cs="Arial"/>
                <w:color w:val="252525"/>
              </w:rPr>
              <w:t xml:space="preserve">  </w:t>
            </w:r>
          </w:p>
          <w:p w14:paraId="6BBFA99F" w14:textId="77777777" w:rsidR="00855ADA" w:rsidRPr="000F74EB" w:rsidRDefault="0022661E" w:rsidP="00055FAA">
            <w:pPr>
              <w:widowControl w:val="0"/>
              <w:suppressAutoHyphens/>
              <w:autoSpaceDE w:val="0"/>
              <w:autoSpaceDN w:val="0"/>
              <w:adjustRightInd w:val="0"/>
              <w:rPr>
                <w:rFonts w:ascii="Arial" w:hAnsi="Arial" w:cs="Arial"/>
                <w:color w:val="252525"/>
                <w:highlight w:val="yellow"/>
              </w:rPr>
            </w:pPr>
            <w:r w:rsidRPr="0022661E">
              <w:rPr>
                <w:rFonts w:ascii="Arial" w:hAnsi="Arial" w:cs="Arial"/>
                <w:color w:val="FF0000"/>
              </w:rPr>
              <w:t>1.</w:t>
            </w:r>
          </w:p>
        </w:tc>
      </w:tr>
      <w:tr w:rsidR="00855ADA" w14:paraId="740AE599" w14:textId="77777777" w:rsidTr="00404677">
        <w:trPr>
          <w:trHeight w:val="620"/>
        </w:trPr>
        <w:tc>
          <w:tcPr>
            <w:tcW w:w="4788" w:type="dxa"/>
          </w:tcPr>
          <w:p w14:paraId="1A84E2C3" w14:textId="77777777"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 xml:space="preserve">’s proportionate share of the net </w:t>
            </w:r>
            <w:r w:rsidR="005557E2">
              <w:rPr>
                <w:rFonts w:ascii="Arial" w:hAnsi="Arial" w:cs="Arial"/>
                <w:color w:val="252525"/>
              </w:rPr>
              <w:t>OPEB</w:t>
            </w:r>
            <w:r w:rsidR="00855ADA">
              <w:rPr>
                <w:rFonts w:ascii="Arial" w:hAnsi="Arial" w:cs="Arial"/>
                <w:color w:val="252525"/>
              </w:rPr>
              <w:t xml:space="preserve"> liability (asset)</w:t>
            </w:r>
          </w:p>
        </w:tc>
        <w:tc>
          <w:tcPr>
            <w:tcW w:w="4050" w:type="dxa"/>
            <w:vAlign w:val="center"/>
          </w:tcPr>
          <w:p w14:paraId="76FC16B9" w14:textId="77777777" w:rsidR="00055FAA" w:rsidRDefault="00DD56B1" w:rsidP="00E83725">
            <w:pPr>
              <w:widowControl w:val="0"/>
              <w:suppressAutoHyphens/>
              <w:autoSpaceDE w:val="0"/>
              <w:autoSpaceDN w:val="0"/>
              <w:adjustRightInd w:val="0"/>
              <w:rPr>
                <w:rFonts w:ascii="Arial" w:hAnsi="Arial" w:cs="Arial"/>
                <w:color w:val="252525"/>
              </w:rPr>
            </w:pPr>
            <w:r w:rsidRPr="000F74EB">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p>
          <w:p w14:paraId="4000A6C7" w14:textId="77777777" w:rsidR="00855ADA" w:rsidRPr="000F74EB" w:rsidRDefault="0022661E" w:rsidP="00E83725">
            <w:pPr>
              <w:widowControl w:val="0"/>
              <w:suppressAutoHyphens/>
              <w:autoSpaceDE w:val="0"/>
              <w:autoSpaceDN w:val="0"/>
              <w:adjustRightInd w:val="0"/>
              <w:rPr>
                <w:rFonts w:ascii="Arial" w:hAnsi="Arial" w:cs="Arial"/>
                <w:color w:val="252525"/>
                <w:highlight w:val="yellow"/>
              </w:rPr>
            </w:pPr>
            <w:r w:rsidRPr="0022661E">
              <w:rPr>
                <w:rFonts w:ascii="Arial" w:hAnsi="Arial" w:cs="Arial"/>
                <w:color w:val="FF0000"/>
              </w:rPr>
              <w:t>2.</w:t>
            </w:r>
          </w:p>
        </w:tc>
      </w:tr>
      <w:tr w:rsidR="00855ADA" w14:paraId="3507AF5A" w14:textId="77777777" w:rsidTr="00404677">
        <w:trPr>
          <w:trHeight w:val="440"/>
        </w:trPr>
        <w:tc>
          <w:tcPr>
            <w:tcW w:w="4788" w:type="dxa"/>
          </w:tcPr>
          <w:p w14:paraId="61171F75" w14:textId="77777777"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covered-employee payroll</w:t>
            </w:r>
          </w:p>
        </w:tc>
        <w:tc>
          <w:tcPr>
            <w:tcW w:w="4050" w:type="dxa"/>
            <w:vAlign w:val="center"/>
          </w:tcPr>
          <w:p w14:paraId="4F1EB587" w14:textId="77777777" w:rsidR="00055FAA" w:rsidRDefault="00DD56B1" w:rsidP="00E83725">
            <w:pPr>
              <w:widowControl w:val="0"/>
              <w:suppressAutoHyphens/>
              <w:autoSpaceDE w:val="0"/>
              <w:autoSpaceDN w:val="0"/>
              <w:adjustRightInd w:val="0"/>
              <w:rPr>
                <w:rFonts w:ascii="Arial" w:hAnsi="Arial" w:cs="Arial"/>
                <w:color w:val="FF0000"/>
              </w:rPr>
            </w:pPr>
            <w:r w:rsidRPr="000F74EB">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r w:rsidR="00404677" w:rsidRPr="00404677">
              <w:rPr>
                <w:rFonts w:ascii="Arial" w:hAnsi="Arial" w:cs="Arial"/>
                <w:color w:val="FF0000"/>
              </w:rPr>
              <w:t xml:space="preserve"> </w:t>
            </w:r>
            <w:r w:rsidR="00E83725">
              <w:rPr>
                <w:rFonts w:ascii="Arial" w:hAnsi="Arial" w:cs="Arial"/>
                <w:color w:val="FF0000"/>
              </w:rPr>
              <w:t xml:space="preserve">           </w:t>
            </w:r>
          </w:p>
          <w:p w14:paraId="6826D6B4" w14:textId="77777777" w:rsidR="00855ADA" w:rsidRPr="000F74EB" w:rsidRDefault="0022661E" w:rsidP="00E83725">
            <w:pPr>
              <w:widowControl w:val="0"/>
              <w:suppressAutoHyphens/>
              <w:autoSpaceDE w:val="0"/>
              <w:autoSpaceDN w:val="0"/>
              <w:adjustRightInd w:val="0"/>
              <w:rPr>
                <w:rFonts w:ascii="Arial" w:hAnsi="Arial" w:cs="Arial"/>
                <w:color w:val="252525"/>
                <w:highlight w:val="yellow"/>
              </w:rPr>
            </w:pPr>
            <w:r w:rsidRPr="0022661E">
              <w:rPr>
                <w:rFonts w:ascii="Arial" w:hAnsi="Arial" w:cs="Arial"/>
                <w:color w:val="FF0000"/>
              </w:rPr>
              <w:t>3.</w:t>
            </w:r>
          </w:p>
        </w:tc>
      </w:tr>
      <w:tr w:rsidR="00855ADA" w14:paraId="2C62E635" w14:textId="77777777" w:rsidTr="00404677">
        <w:trPr>
          <w:trHeight w:val="890"/>
        </w:trPr>
        <w:tc>
          <w:tcPr>
            <w:tcW w:w="4788" w:type="dxa"/>
          </w:tcPr>
          <w:p w14:paraId="02DEE21F" w14:textId="77777777"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 xml:space="preserve">’s proportionate share of the net </w:t>
            </w:r>
            <w:r w:rsidR="005557E2">
              <w:rPr>
                <w:rFonts w:ascii="Arial" w:hAnsi="Arial" w:cs="Arial"/>
                <w:color w:val="252525"/>
              </w:rPr>
              <w:t>OPEB</w:t>
            </w:r>
            <w:r w:rsidR="00855ADA">
              <w:rPr>
                <w:rFonts w:ascii="Arial" w:hAnsi="Arial" w:cs="Arial"/>
                <w:color w:val="252525"/>
              </w:rPr>
              <w:t xml:space="preserve"> liability (asset) as a percentage of its covered-employee payroll</w:t>
            </w:r>
            <w:r w:rsidR="00404677">
              <w:rPr>
                <w:rFonts w:ascii="Arial" w:hAnsi="Arial" w:cs="Arial"/>
                <w:color w:val="252525"/>
              </w:rPr>
              <w:t xml:space="preserve"> </w:t>
            </w:r>
          </w:p>
        </w:tc>
        <w:tc>
          <w:tcPr>
            <w:tcW w:w="4050" w:type="dxa"/>
            <w:vAlign w:val="center"/>
          </w:tcPr>
          <w:p w14:paraId="3B956B3F" w14:textId="77777777" w:rsidR="00562FCA" w:rsidRDefault="00E83725" w:rsidP="00E83725">
            <w:pPr>
              <w:widowControl w:val="0"/>
              <w:suppressAutoHyphens/>
              <w:autoSpaceDE w:val="0"/>
              <w:autoSpaceDN w:val="0"/>
              <w:adjustRightInd w:val="0"/>
              <w:rPr>
                <w:rFonts w:ascii="Arial" w:hAnsi="Arial" w:cs="Arial"/>
                <w:color w:val="FF0000"/>
              </w:rPr>
            </w:pPr>
            <w:r>
              <w:rPr>
                <w:rFonts w:ascii="Arial" w:hAnsi="Arial" w:cs="Arial"/>
                <w:color w:val="252525"/>
                <w:highlight w:val="yellow"/>
              </w:rPr>
              <w:t>XXX.XX</w:t>
            </w:r>
            <w:r w:rsidR="000F74EB" w:rsidRPr="000F74EB">
              <w:rPr>
                <w:rFonts w:ascii="Arial" w:hAnsi="Arial" w:cs="Arial"/>
                <w:color w:val="252525"/>
                <w:highlight w:val="yellow"/>
              </w:rPr>
              <w:t>%</w:t>
            </w:r>
            <w:r w:rsidR="00404677" w:rsidRPr="00404677">
              <w:rPr>
                <w:rFonts w:ascii="Arial" w:hAnsi="Arial" w:cs="Arial"/>
                <w:color w:val="FF0000"/>
              </w:rPr>
              <w:t xml:space="preserve"> </w:t>
            </w:r>
            <w:r w:rsidR="00404677">
              <w:rPr>
                <w:rFonts w:ascii="Arial" w:hAnsi="Arial" w:cs="Arial"/>
                <w:color w:val="FF0000"/>
              </w:rPr>
              <w:t xml:space="preserve">     </w:t>
            </w:r>
          </w:p>
          <w:p w14:paraId="6E401B44" w14:textId="77777777" w:rsidR="00855ADA" w:rsidRPr="000F74EB" w:rsidRDefault="00FD41FC" w:rsidP="00E83725">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4.  </w:t>
            </w:r>
            <w:r w:rsidR="00404677" w:rsidRPr="00404677">
              <w:rPr>
                <w:rFonts w:ascii="Arial" w:hAnsi="Arial" w:cs="Arial"/>
                <w:color w:val="FF0000"/>
              </w:rPr>
              <w:t>Calculate</w:t>
            </w:r>
            <w:r w:rsidR="00404677">
              <w:rPr>
                <w:rFonts w:ascii="Arial" w:hAnsi="Arial" w:cs="Arial"/>
                <w:color w:val="FF0000"/>
              </w:rPr>
              <w:t>,</w:t>
            </w:r>
            <w:r w:rsidR="00404677" w:rsidRPr="00404677">
              <w:rPr>
                <w:rFonts w:ascii="Arial" w:hAnsi="Arial" w:cs="Arial"/>
                <w:color w:val="FF0000"/>
              </w:rPr>
              <w:t xml:space="preserve"> 2 divided by 3</w:t>
            </w:r>
          </w:p>
        </w:tc>
      </w:tr>
      <w:tr w:rsidR="00855ADA" w14:paraId="019D039E" w14:textId="77777777" w:rsidTr="00404677">
        <w:tc>
          <w:tcPr>
            <w:tcW w:w="4788" w:type="dxa"/>
          </w:tcPr>
          <w:p w14:paraId="6926454F" w14:textId="77777777" w:rsidR="00855ADA" w:rsidRDefault="00855ADA" w:rsidP="00FC7863">
            <w:pPr>
              <w:widowControl w:val="0"/>
              <w:suppressAutoHyphens/>
              <w:autoSpaceDE w:val="0"/>
              <w:autoSpaceDN w:val="0"/>
              <w:adjustRightInd w:val="0"/>
              <w:rPr>
                <w:rFonts w:ascii="Arial" w:hAnsi="Arial" w:cs="Arial"/>
                <w:color w:val="252525"/>
              </w:rPr>
            </w:pPr>
            <w:r>
              <w:rPr>
                <w:rFonts w:ascii="Arial" w:hAnsi="Arial" w:cs="Arial"/>
                <w:color w:val="252525"/>
              </w:rPr>
              <w:t xml:space="preserve">Plan fiduciary net position as a percentage of the total </w:t>
            </w:r>
            <w:r w:rsidR="005557E2">
              <w:rPr>
                <w:rFonts w:ascii="Arial" w:hAnsi="Arial" w:cs="Arial"/>
                <w:color w:val="252525"/>
              </w:rPr>
              <w:t>OPEB</w:t>
            </w:r>
            <w:r>
              <w:rPr>
                <w:rFonts w:ascii="Arial" w:hAnsi="Arial" w:cs="Arial"/>
                <w:color w:val="252525"/>
              </w:rPr>
              <w:t xml:space="preserve"> liability</w:t>
            </w:r>
            <w:r w:rsidR="000F74EB">
              <w:rPr>
                <w:rFonts w:ascii="Arial" w:hAnsi="Arial" w:cs="Arial"/>
                <w:color w:val="252525"/>
              </w:rPr>
              <w:t xml:space="preserve"> </w:t>
            </w:r>
          </w:p>
        </w:tc>
        <w:tc>
          <w:tcPr>
            <w:tcW w:w="4050" w:type="dxa"/>
            <w:vAlign w:val="center"/>
          </w:tcPr>
          <w:p w14:paraId="7C3DE187" w14:textId="77777777" w:rsidR="00D321DD" w:rsidRDefault="00E83725" w:rsidP="00E83725">
            <w:pPr>
              <w:widowControl w:val="0"/>
              <w:suppressAutoHyphens/>
              <w:autoSpaceDE w:val="0"/>
              <w:autoSpaceDN w:val="0"/>
              <w:adjustRightInd w:val="0"/>
              <w:rPr>
                <w:rFonts w:ascii="Arial" w:hAnsi="Arial" w:cs="Arial"/>
                <w:color w:val="252525"/>
              </w:rPr>
            </w:pPr>
            <w:r>
              <w:rPr>
                <w:rFonts w:ascii="Arial" w:hAnsi="Arial" w:cs="Arial"/>
                <w:color w:val="252525"/>
                <w:highlight w:val="yellow"/>
              </w:rPr>
              <w:t>XXX.XX</w:t>
            </w:r>
            <w:r w:rsidR="000F74EB" w:rsidRPr="000F74EB">
              <w:rPr>
                <w:rFonts w:ascii="Arial" w:hAnsi="Arial" w:cs="Arial"/>
                <w:color w:val="252525"/>
                <w:highlight w:val="yellow"/>
              </w:rPr>
              <w:t>%</w:t>
            </w:r>
            <w:r w:rsidR="00404677" w:rsidRPr="00404677">
              <w:rPr>
                <w:rFonts w:ascii="Arial" w:hAnsi="Arial" w:cs="Arial"/>
                <w:color w:val="252525"/>
              </w:rPr>
              <w:t xml:space="preserve"> </w:t>
            </w:r>
            <w:r w:rsidR="00404677">
              <w:rPr>
                <w:rFonts w:ascii="Arial" w:hAnsi="Arial" w:cs="Arial"/>
                <w:color w:val="252525"/>
              </w:rPr>
              <w:t xml:space="preserve">           </w:t>
            </w:r>
            <w:r>
              <w:rPr>
                <w:rFonts w:ascii="Arial" w:hAnsi="Arial" w:cs="Arial"/>
                <w:color w:val="252525"/>
              </w:rPr>
              <w:t xml:space="preserve"> </w:t>
            </w:r>
            <w:r w:rsidR="00404677">
              <w:rPr>
                <w:rFonts w:ascii="Arial" w:hAnsi="Arial" w:cs="Arial"/>
                <w:color w:val="252525"/>
              </w:rPr>
              <w:t xml:space="preserve"> </w:t>
            </w:r>
          </w:p>
          <w:p w14:paraId="6D020595" w14:textId="77777777" w:rsidR="00855ADA" w:rsidRPr="000F74EB" w:rsidRDefault="00FD41FC" w:rsidP="0022661E">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5.  </w:t>
            </w:r>
            <w:r w:rsidR="0022661E">
              <w:rPr>
                <w:rFonts w:ascii="Arial" w:hAnsi="Arial" w:cs="Arial"/>
                <w:color w:val="FF0000"/>
              </w:rPr>
              <w:t>Section C</w:t>
            </w:r>
            <w:r w:rsidR="00F11639">
              <w:rPr>
                <w:rFonts w:ascii="Arial" w:hAnsi="Arial" w:cs="Arial"/>
                <w:color w:val="FF0000"/>
              </w:rPr>
              <w:t xml:space="preserve"> </w:t>
            </w:r>
            <w:r w:rsidR="0022661E">
              <w:rPr>
                <w:rFonts w:ascii="Arial" w:hAnsi="Arial" w:cs="Arial"/>
                <w:color w:val="FF0000"/>
              </w:rPr>
              <w:t xml:space="preserve">Schedule of Changes in Net </w:t>
            </w:r>
            <w:r w:rsidR="005557E2">
              <w:rPr>
                <w:rFonts w:ascii="Arial" w:hAnsi="Arial" w:cs="Arial"/>
                <w:color w:val="FF0000"/>
              </w:rPr>
              <w:t>OPEB</w:t>
            </w:r>
            <w:r w:rsidR="0022661E">
              <w:rPr>
                <w:rFonts w:ascii="Arial" w:hAnsi="Arial" w:cs="Arial"/>
                <w:color w:val="FF0000"/>
              </w:rPr>
              <w:t xml:space="preserve"> Liability and Related Ratio Current Period – Plan Fiduciary Net Position as a Percentage</w:t>
            </w:r>
          </w:p>
        </w:tc>
      </w:tr>
    </w:tbl>
    <w:p w14:paraId="7FA079D2" w14:textId="77777777" w:rsidR="00855ADA" w:rsidRDefault="00855ADA" w:rsidP="00FC7863">
      <w:pPr>
        <w:widowControl w:val="0"/>
        <w:suppressAutoHyphens/>
        <w:autoSpaceDE w:val="0"/>
        <w:autoSpaceDN w:val="0"/>
        <w:adjustRightInd w:val="0"/>
        <w:spacing w:after="0" w:line="240" w:lineRule="auto"/>
        <w:rPr>
          <w:rFonts w:ascii="Arial" w:hAnsi="Arial" w:cs="Arial"/>
          <w:color w:val="252525"/>
        </w:rPr>
      </w:pPr>
    </w:p>
    <w:p w14:paraId="4A6E5AAF" w14:textId="77777777" w:rsidR="008C3CF1" w:rsidRDefault="00855ADA" w:rsidP="00855ADA">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w:t>
      </w:r>
      <w:r w:rsidRPr="00855ADA">
        <w:rPr>
          <w:rFonts w:ascii="Arial" w:hAnsi="Arial" w:cs="Arial"/>
          <w:color w:val="252525"/>
        </w:rPr>
        <w:t>Complete data for this schedule is not available prior to 201</w:t>
      </w:r>
      <w:r w:rsidR="005557E2">
        <w:rPr>
          <w:rFonts w:ascii="Arial" w:hAnsi="Arial" w:cs="Arial"/>
          <w:color w:val="252525"/>
        </w:rPr>
        <w:t>7</w:t>
      </w:r>
      <w:r w:rsidR="00163A66">
        <w:rPr>
          <w:rFonts w:ascii="Arial" w:hAnsi="Arial" w:cs="Arial"/>
          <w:color w:val="252525"/>
        </w:rPr>
        <w:t xml:space="preserve">. </w:t>
      </w:r>
    </w:p>
    <w:p w14:paraId="0699D873" w14:textId="77777777" w:rsidR="008C3CF1" w:rsidRDefault="008C3CF1" w:rsidP="00855ADA">
      <w:pPr>
        <w:widowControl w:val="0"/>
        <w:suppressAutoHyphens/>
        <w:autoSpaceDE w:val="0"/>
        <w:autoSpaceDN w:val="0"/>
        <w:adjustRightInd w:val="0"/>
        <w:spacing w:after="0" w:line="240" w:lineRule="auto"/>
        <w:rPr>
          <w:rFonts w:ascii="Arial" w:hAnsi="Arial" w:cs="Arial"/>
          <w:color w:val="252525"/>
        </w:rPr>
      </w:pPr>
    </w:p>
    <w:p w14:paraId="57116454" w14:textId="77777777" w:rsidR="00855ADA" w:rsidRDefault="008C3CF1" w:rsidP="00855ADA">
      <w:pPr>
        <w:widowControl w:val="0"/>
        <w:suppressAutoHyphens/>
        <w:autoSpaceDE w:val="0"/>
        <w:autoSpaceDN w:val="0"/>
        <w:adjustRightInd w:val="0"/>
        <w:spacing w:after="0" w:line="240" w:lineRule="auto"/>
        <w:rPr>
          <w:rFonts w:ascii="Arial" w:hAnsi="Arial" w:cs="Arial"/>
          <w:color w:val="252525"/>
        </w:rPr>
      </w:pPr>
      <w:r w:rsidRPr="008C3CF1">
        <w:rPr>
          <w:rFonts w:ascii="Arial" w:hAnsi="Arial" w:cs="Arial"/>
          <w:color w:val="252525"/>
          <w:highlight w:val="yellow"/>
        </w:rPr>
        <w:t>If employer is using prior year measurement date may want to note that the amounts presented for each fiscal year have a measurement date of the previous fiscal year end.</w:t>
      </w:r>
    </w:p>
    <w:p w14:paraId="5142DF54" w14:textId="77777777" w:rsidR="00855ADA" w:rsidRDefault="00855ADA" w:rsidP="00855ADA">
      <w:pPr>
        <w:widowControl w:val="0"/>
        <w:suppressAutoHyphens/>
        <w:autoSpaceDE w:val="0"/>
        <w:autoSpaceDN w:val="0"/>
        <w:adjustRightInd w:val="0"/>
        <w:spacing w:after="0" w:line="240" w:lineRule="auto"/>
        <w:rPr>
          <w:rFonts w:ascii="Arial" w:hAnsi="Arial" w:cs="Arial"/>
          <w:color w:val="252525"/>
        </w:rPr>
      </w:pPr>
    </w:p>
    <w:p w14:paraId="0D7E7A2D" w14:textId="77777777" w:rsidR="005557E2" w:rsidRDefault="005557E2" w:rsidP="00855ADA">
      <w:pPr>
        <w:widowControl w:val="0"/>
        <w:suppressAutoHyphens/>
        <w:autoSpaceDE w:val="0"/>
        <w:autoSpaceDN w:val="0"/>
        <w:adjustRightInd w:val="0"/>
        <w:spacing w:after="0" w:line="240" w:lineRule="auto"/>
        <w:rPr>
          <w:rFonts w:ascii="Arial" w:hAnsi="Arial" w:cs="Arial"/>
          <w:color w:val="252525"/>
        </w:rPr>
      </w:pPr>
    </w:p>
    <w:p w14:paraId="4821CFF6" w14:textId="77777777" w:rsidR="005B4B25" w:rsidRDefault="005B4B25" w:rsidP="00855ADA">
      <w:pPr>
        <w:widowControl w:val="0"/>
        <w:suppressAutoHyphens/>
        <w:autoSpaceDE w:val="0"/>
        <w:autoSpaceDN w:val="0"/>
        <w:adjustRightInd w:val="0"/>
        <w:spacing w:after="0" w:line="240" w:lineRule="auto"/>
        <w:rPr>
          <w:rFonts w:ascii="Arial" w:hAnsi="Arial" w:cs="Arial"/>
          <w:color w:val="252525"/>
        </w:rPr>
      </w:pPr>
    </w:p>
    <w:p w14:paraId="5433F25F" w14:textId="77777777" w:rsidR="005B4B25" w:rsidRDefault="005B4B25" w:rsidP="00855ADA">
      <w:pPr>
        <w:widowControl w:val="0"/>
        <w:suppressAutoHyphens/>
        <w:autoSpaceDE w:val="0"/>
        <w:autoSpaceDN w:val="0"/>
        <w:adjustRightInd w:val="0"/>
        <w:spacing w:after="0" w:line="240" w:lineRule="auto"/>
        <w:rPr>
          <w:rFonts w:ascii="Arial" w:hAnsi="Arial" w:cs="Arial"/>
          <w:color w:val="252525"/>
        </w:rPr>
      </w:pPr>
    </w:p>
    <w:p w14:paraId="67E616D4" w14:textId="77777777" w:rsidR="005B4B25" w:rsidRDefault="005B4B25" w:rsidP="00855ADA">
      <w:pPr>
        <w:widowControl w:val="0"/>
        <w:suppressAutoHyphens/>
        <w:autoSpaceDE w:val="0"/>
        <w:autoSpaceDN w:val="0"/>
        <w:adjustRightInd w:val="0"/>
        <w:spacing w:after="0" w:line="240" w:lineRule="auto"/>
        <w:rPr>
          <w:rFonts w:ascii="Arial" w:hAnsi="Arial" w:cs="Arial"/>
          <w:color w:val="252525"/>
        </w:rPr>
      </w:pPr>
    </w:p>
    <w:p w14:paraId="0106A793" w14:textId="77777777" w:rsidR="005B4B25" w:rsidRDefault="005B4B25" w:rsidP="00855ADA">
      <w:pPr>
        <w:widowControl w:val="0"/>
        <w:suppressAutoHyphens/>
        <w:autoSpaceDE w:val="0"/>
        <w:autoSpaceDN w:val="0"/>
        <w:adjustRightInd w:val="0"/>
        <w:spacing w:after="0" w:line="240" w:lineRule="auto"/>
        <w:rPr>
          <w:rFonts w:ascii="Arial" w:hAnsi="Arial" w:cs="Arial"/>
          <w:color w:val="252525"/>
        </w:rPr>
      </w:pPr>
    </w:p>
    <w:p w14:paraId="77575CBC" w14:textId="77777777" w:rsidR="00855ADA" w:rsidRDefault="00855ADA" w:rsidP="00855ADA">
      <w:pPr>
        <w:widowControl w:val="0"/>
        <w:suppressAutoHyphens/>
        <w:autoSpaceDE w:val="0"/>
        <w:autoSpaceDN w:val="0"/>
        <w:adjustRightInd w:val="0"/>
        <w:spacing w:after="0" w:line="240" w:lineRule="auto"/>
        <w:rPr>
          <w:rFonts w:ascii="Arial" w:hAnsi="Arial" w:cs="Arial"/>
          <w:color w:val="252525"/>
        </w:rPr>
      </w:pPr>
    </w:p>
    <w:p w14:paraId="6D8D8A30"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lastRenderedPageBreak/>
        <w:t xml:space="preserve">Schedule of </w:t>
      </w:r>
      <w:r w:rsidR="009348EB">
        <w:rPr>
          <w:rFonts w:ascii="Arial" w:hAnsi="Arial" w:cs="Arial"/>
          <w:b/>
          <w:color w:val="252525"/>
        </w:rPr>
        <w:t>Employer</w:t>
      </w:r>
      <w:r w:rsidRPr="00855ADA">
        <w:rPr>
          <w:rFonts w:ascii="Arial" w:hAnsi="Arial" w:cs="Arial"/>
          <w:b/>
          <w:color w:val="252525"/>
        </w:rPr>
        <w:t xml:space="preserve"> Contributions</w:t>
      </w:r>
    </w:p>
    <w:p w14:paraId="69FB3C69"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 xml:space="preserve">ND </w:t>
      </w:r>
      <w:r w:rsidR="001F009F">
        <w:rPr>
          <w:rFonts w:ascii="Arial" w:hAnsi="Arial" w:cs="Arial"/>
          <w:b/>
          <w:color w:val="252525"/>
        </w:rPr>
        <w:t>Public Employees Retirement System</w:t>
      </w:r>
    </w:p>
    <w:p w14:paraId="6649746A" w14:textId="77777777" w:rsid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14:paraId="2B03F268"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5E18CD">
        <w:rPr>
          <w:rFonts w:ascii="Arial" w:hAnsi="Arial" w:cs="Arial"/>
          <w:color w:val="FF0000"/>
        </w:rPr>
        <w:t xml:space="preserve">(from </w:t>
      </w:r>
      <w:r w:rsidR="0086353F">
        <w:rPr>
          <w:rFonts w:ascii="Arial" w:hAnsi="Arial" w:cs="Arial"/>
          <w:color w:val="FF0000"/>
        </w:rPr>
        <w:t xml:space="preserve">Section </w:t>
      </w:r>
      <w:r w:rsidR="0022661E">
        <w:rPr>
          <w:rFonts w:ascii="Arial" w:hAnsi="Arial" w:cs="Arial"/>
          <w:color w:val="FF0000"/>
        </w:rPr>
        <w:t>E, Schedule of Contributions by Employer</w:t>
      </w:r>
      <w:r w:rsidRPr="005E18CD">
        <w:rPr>
          <w:rFonts w:ascii="Arial" w:hAnsi="Arial" w:cs="Arial"/>
          <w:color w:val="FF0000"/>
        </w:rPr>
        <w:t>)</w:t>
      </w:r>
    </w:p>
    <w:p w14:paraId="517748D6" w14:textId="77777777" w:rsidR="00855ADA" w:rsidRDefault="00855ADA" w:rsidP="00855ADA">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4788"/>
        <w:gridCol w:w="4788"/>
      </w:tblGrid>
      <w:tr w:rsidR="00855ADA" w14:paraId="1ACD064A" w14:textId="77777777" w:rsidTr="00855ADA">
        <w:tc>
          <w:tcPr>
            <w:tcW w:w="4788" w:type="dxa"/>
          </w:tcPr>
          <w:p w14:paraId="68321767" w14:textId="77777777" w:rsidR="00855ADA" w:rsidRDefault="00855ADA" w:rsidP="00855ADA">
            <w:pPr>
              <w:widowControl w:val="0"/>
              <w:suppressAutoHyphens/>
              <w:autoSpaceDE w:val="0"/>
              <w:autoSpaceDN w:val="0"/>
              <w:adjustRightInd w:val="0"/>
              <w:rPr>
                <w:rFonts w:ascii="Arial" w:hAnsi="Arial" w:cs="Arial"/>
                <w:color w:val="252525"/>
              </w:rPr>
            </w:pPr>
          </w:p>
        </w:tc>
        <w:tc>
          <w:tcPr>
            <w:tcW w:w="4788" w:type="dxa"/>
          </w:tcPr>
          <w:p w14:paraId="64B8A634" w14:textId="3D852A1B" w:rsidR="00855ADA" w:rsidRDefault="001272E5" w:rsidP="004672D3">
            <w:pPr>
              <w:widowControl w:val="0"/>
              <w:suppressAutoHyphens/>
              <w:autoSpaceDE w:val="0"/>
              <w:autoSpaceDN w:val="0"/>
              <w:adjustRightInd w:val="0"/>
              <w:jc w:val="center"/>
              <w:rPr>
                <w:rFonts w:ascii="Arial" w:hAnsi="Arial" w:cs="Arial"/>
                <w:color w:val="252525"/>
              </w:rPr>
            </w:pPr>
            <w:r>
              <w:rPr>
                <w:rFonts w:ascii="Arial" w:hAnsi="Arial" w:cs="Arial"/>
                <w:color w:val="252525"/>
              </w:rPr>
              <w:t>20</w:t>
            </w:r>
            <w:r w:rsidR="00214C5A">
              <w:rPr>
                <w:rFonts w:ascii="Arial" w:hAnsi="Arial" w:cs="Arial"/>
                <w:color w:val="252525"/>
              </w:rPr>
              <w:t>2</w:t>
            </w:r>
            <w:r w:rsidR="00E8184C">
              <w:rPr>
                <w:rFonts w:ascii="Arial" w:hAnsi="Arial" w:cs="Arial"/>
                <w:color w:val="252525"/>
              </w:rPr>
              <w:t>2</w:t>
            </w:r>
          </w:p>
        </w:tc>
      </w:tr>
      <w:tr w:rsidR="00855ADA" w14:paraId="762B49AC" w14:textId="77777777" w:rsidTr="00404677">
        <w:trPr>
          <w:trHeight w:val="440"/>
        </w:trPr>
        <w:tc>
          <w:tcPr>
            <w:tcW w:w="4788" w:type="dxa"/>
          </w:tcPr>
          <w:p w14:paraId="4676FFDA" w14:textId="77777777" w:rsidR="00855ADA" w:rsidRDefault="00855ADA" w:rsidP="00855ADA">
            <w:pPr>
              <w:widowControl w:val="0"/>
              <w:suppressAutoHyphens/>
              <w:autoSpaceDE w:val="0"/>
              <w:autoSpaceDN w:val="0"/>
              <w:adjustRightInd w:val="0"/>
              <w:rPr>
                <w:rFonts w:ascii="Arial" w:hAnsi="Arial" w:cs="Arial"/>
                <w:color w:val="252525"/>
              </w:rPr>
            </w:pPr>
            <w:r>
              <w:rPr>
                <w:rFonts w:ascii="Arial" w:hAnsi="Arial" w:cs="Arial"/>
                <w:color w:val="252525"/>
              </w:rPr>
              <w:t>Statutorily required contribution</w:t>
            </w:r>
          </w:p>
        </w:tc>
        <w:tc>
          <w:tcPr>
            <w:tcW w:w="4788" w:type="dxa"/>
            <w:vAlign w:val="center"/>
          </w:tcPr>
          <w:p w14:paraId="5E422629" w14:textId="77777777"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sidRPr="00404677">
              <w:rPr>
                <w:rFonts w:ascii="Arial" w:hAnsi="Arial" w:cs="Arial"/>
                <w:color w:val="FF0000"/>
              </w:rPr>
              <w:t xml:space="preserve"> </w:t>
            </w:r>
            <w:r w:rsidR="00404677">
              <w:rPr>
                <w:rFonts w:ascii="Arial" w:hAnsi="Arial" w:cs="Arial"/>
                <w:color w:val="FF0000"/>
              </w:rPr>
              <w:t xml:space="preserve">  </w:t>
            </w:r>
            <w:r w:rsidR="00E83725">
              <w:rPr>
                <w:rFonts w:ascii="Arial" w:hAnsi="Arial" w:cs="Arial"/>
                <w:color w:val="FF0000"/>
              </w:rPr>
              <w:t xml:space="preserve">  </w:t>
            </w:r>
            <w:r w:rsidR="00404677">
              <w:rPr>
                <w:rFonts w:ascii="Arial" w:hAnsi="Arial" w:cs="Arial"/>
                <w:color w:val="FF0000"/>
              </w:rPr>
              <w:t xml:space="preserve">     </w:t>
            </w:r>
          </w:p>
          <w:p w14:paraId="2ABED62D" w14:textId="77777777" w:rsidR="00855ADA" w:rsidRPr="00926A6E" w:rsidRDefault="00855ADA" w:rsidP="00926A6E">
            <w:pPr>
              <w:widowControl w:val="0"/>
              <w:suppressAutoHyphens/>
              <w:autoSpaceDE w:val="0"/>
              <w:autoSpaceDN w:val="0"/>
              <w:adjustRightInd w:val="0"/>
              <w:rPr>
                <w:rFonts w:ascii="Arial" w:hAnsi="Arial" w:cs="Arial"/>
                <w:color w:val="252525"/>
                <w:highlight w:val="yellow"/>
              </w:rPr>
            </w:pPr>
          </w:p>
        </w:tc>
      </w:tr>
      <w:tr w:rsidR="00855ADA" w14:paraId="02BFC707" w14:textId="77777777" w:rsidTr="00404677">
        <w:trPr>
          <w:trHeight w:val="620"/>
        </w:trPr>
        <w:tc>
          <w:tcPr>
            <w:tcW w:w="4788" w:type="dxa"/>
          </w:tcPr>
          <w:p w14:paraId="75B636B4" w14:textId="77777777" w:rsidR="00855ADA" w:rsidRDefault="00855ADA"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Contributions in relation to the statutorily required contribution</w:t>
            </w:r>
          </w:p>
        </w:tc>
        <w:tc>
          <w:tcPr>
            <w:tcW w:w="4788" w:type="dxa"/>
            <w:vAlign w:val="center"/>
          </w:tcPr>
          <w:p w14:paraId="6A5D94E5" w14:textId="77777777"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Pr="00163A66">
              <w:rPr>
                <w:rFonts w:ascii="Arial" w:hAnsi="Arial" w:cs="Arial"/>
                <w:color w:val="252525"/>
                <w:highlight w:val="yellow"/>
              </w:rPr>
              <w:t>)</w:t>
            </w:r>
            <w:r w:rsidR="00E83725">
              <w:rPr>
                <w:rFonts w:ascii="Arial" w:hAnsi="Arial" w:cs="Arial"/>
                <w:color w:val="252525"/>
              </w:rPr>
              <w:t xml:space="preserve"> </w:t>
            </w:r>
            <w:r w:rsidR="00404677" w:rsidRPr="00404677">
              <w:rPr>
                <w:rFonts w:ascii="Arial" w:hAnsi="Arial" w:cs="Arial"/>
                <w:color w:val="FF0000"/>
              </w:rPr>
              <w:t xml:space="preserve"> </w:t>
            </w:r>
            <w:r w:rsidR="00404677">
              <w:rPr>
                <w:rFonts w:ascii="Arial" w:hAnsi="Arial" w:cs="Arial"/>
                <w:color w:val="FF0000"/>
              </w:rPr>
              <w:t xml:space="preserve"> </w:t>
            </w:r>
            <w:r w:rsidR="00E83725">
              <w:rPr>
                <w:rFonts w:ascii="Arial" w:hAnsi="Arial" w:cs="Arial"/>
                <w:color w:val="FF0000"/>
              </w:rPr>
              <w:t xml:space="preserve"> </w:t>
            </w:r>
            <w:r w:rsidR="00404677">
              <w:rPr>
                <w:rFonts w:ascii="Arial" w:hAnsi="Arial" w:cs="Arial"/>
                <w:color w:val="FF0000"/>
              </w:rPr>
              <w:t xml:space="preserve">    </w:t>
            </w:r>
          </w:p>
          <w:p w14:paraId="2325F8A0" w14:textId="77777777" w:rsidR="00855ADA" w:rsidRPr="00163A66" w:rsidRDefault="00855ADA" w:rsidP="00FD41FC">
            <w:pPr>
              <w:widowControl w:val="0"/>
              <w:suppressAutoHyphens/>
              <w:autoSpaceDE w:val="0"/>
              <w:autoSpaceDN w:val="0"/>
              <w:adjustRightInd w:val="0"/>
              <w:rPr>
                <w:rFonts w:ascii="Arial" w:hAnsi="Arial" w:cs="Arial"/>
                <w:color w:val="252525"/>
                <w:highlight w:val="yellow"/>
              </w:rPr>
            </w:pPr>
          </w:p>
        </w:tc>
      </w:tr>
      <w:tr w:rsidR="00855ADA" w14:paraId="79080BBB" w14:textId="77777777" w:rsidTr="00404677">
        <w:trPr>
          <w:trHeight w:val="404"/>
        </w:trPr>
        <w:tc>
          <w:tcPr>
            <w:tcW w:w="4788" w:type="dxa"/>
          </w:tcPr>
          <w:p w14:paraId="1243142A" w14:textId="77777777" w:rsidR="00855ADA" w:rsidRDefault="004672D3"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 deficiency (excess)</w:t>
            </w:r>
            <w:r w:rsidR="00163A66">
              <w:rPr>
                <w:rFonts w:ascii="Arial" w:hAnsi="Arial" w:cs="Arial"/>
                <w:color w:val="252525"/>
              </w:rPr>
              <w:t xml:space="preserve"> </w:t>
            </w:r>
          </w:p>
        </w:tc>
        <w:tc>
          <w:tcPr>
            <w:tcW w:w="4788" w:type="dxa"/>
            <w:vAlign w:val="center"/>
          </w:tcPr>
          <w:p w14:paraId="326940B7" w14:textId="77777777" w:rsidR="00926A6E"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FF0000"/>
              </w:rPr>
              <w:t xml:space="preserve">           </w:t>
            </w:r>
          </w:p>
          <w:p w14:paraId="0AE47278" w14:textId="77777777" w:rsidR="00855ADA" w:rsidRPr="00163A66" w:rsidRDefault="00855ADA" w:rsidP="00926A6E">
            <w:pPr>
              <w:widowControl w:val="0"/>
              <w:suppressAutoHyphens/>
              <w:autoSpaceDE w:val="0"/>
              <w:autoSpaceDN w:val="0"/>
              <w:adjustRightInd w:val="0"/>
              <w:rPr>
                <w:rFonts w:ascii="Arial" w:hAnsi="Arial" w:cs="Arial"/>
                <w:color w:val="252525"/>
                <w:highlight w:val="yellow"/>
              </w:rPr>
            </w:pPr>
          </w:p>
        </w:tc>
      </w:tr>
      <w:tr w:rsidR="00855ADA" w14:paraId="717144B6" w14:textId="77777777" w:rsidTr="00404677">
        <w:trPr>
          <w:trHeight w:val="440"/>
        </w:trPr>
        <w:tc>
          <w:tcPr>
            <w:tcW w:w="4788" w:type="dxa"/>
          </w:tcPr>
          <w:p w14:paraId="44B6F03B" w14:textId="77777777" w:rsidR="00855ADA" w:rsidRDefault="00C30D76" w:rsidP="00855ADA">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4672D3">
              <w:rPr>
                <w:rFonts w:ascii="Arial" w:hAnsi="Arial" w:cs="Arial"/>
                <w:color w:val="252525"/>
              </w:rPr>
              <w:t>’s covered-employee payroll</w:t>
            </w:r>
          </w:p>
        </w:tc>
        <w:tc>
          <w:tcPr>
            <w:tcW w:w="4788" w:type="dxa"/>
            <w:vAlign w:val="center"/>
          </w:tcPr>
          <w:p w14:paraId="392AE578" w14:textId="77777777"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r w:rsidR="00E83725">
              <w:rPr>
                <w:rFonts w:ascii="Arial" w:hAnsi="Arial" w:cs="Arial"/>
                <w:color w:val="252525"/>
              </w:rPr>
              <w:t xml:space="preserve">     </w:t>
            </w:r>
            <w:r w:rsidR="00404677">
              <w:rPr>
                <w:rFonts w:ascii="Arial" w:hAnsi="Arial" w:cs="Arial"/>
                <w:color w:val="252525"/>
              </w:rPr>
              <w:t xml:space="preserve">    </w:t>
            </w:r>
            <w:r w:rsidR="00404677" w:rsidRPr="00404677">
              <w:rPr>
                <w:rFonts w:ascii="Arial" w:hAnsi="Arial" w:cs="Arial"/>
                <w:color w:val="FF0000"/>
              </w:rPr>
              <w:t xml:space="preserve"> </w:t>
            </w:r>
          </w:p>
          <w:p w14:paraId="3DB204DC" w14:textId="77777777" w:rsidR="00855ADA" w:rsidRPr="00163A66" w:rsidRDefault="00855ADA" w:rsidP="00FD41FC">
            <w:pPr>
              <w:widowControl w:val="0"/>
              <w:suppressAutoHyphens/>
              <w:autoSpaceDE w:val="0"/>
              <w:autoSpaceDN w:val="0"/>
              <w:adjustRightInd w:val="0"/>
              <w:rPr>
                <w:rFonts w:ascii="Arial" w:hAnsi="Arial" w:cs="Arial"/>
                <w:color w:val="252525"/>
                <w:highlight w:val="yellow"/>
              </w:rPr>
            </w:pPr>
          </w:p>
        </w:tc>
      </w:tr>
      <w:tr w:rsidR="00855ADA" w14:paraId="55F3F0BB" w14:textId="77777777" w:rsidTr="00404677">
        <w:tc>
          <w:tcPr>
            <w:tcW w:w="4788" w:type="dxa"/>
          </w:tcPr>
          <w:p w14:paraId="2165DD53" w14:textId="77777777" w:rsidR="00855ADA" w:rsidRDefault="004672D3"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Contributions as a percentage of covered-employee payroll</w:t>
            </w:r>
          </w:p>
        </w:tc>
        <w:tc>
          <w:tcPr>
            <w:tcW w:w="4788" w:type="dxa"/>
            <w:vAlign w:val="center"/>
          </w:tcPr>
          <w:p w14:paraId="5BE87F82" w14:textId="77777777" w:rsidR="00926A6E" w:rsidRDefault="00E83725" w:rsidP="00E83725">
            <w:pPr>
              <w:widowControl w:val="0"/>
              <w:suppressAutoHyphens/>
              <w:autoSpaceDE w:val="0"/>
              <w:autoSpaceDN w:val="0"/>
              <w:adjustRightInd w:val="0"/>
              <w:rPr>
                <w:rFonts w:ascii="Arial" w:hAnsi="Arial" w:cs="Arial"/>
                <w:color w:val="FF0000"/>
              </w:rPr>
            </w:pPr>
            <w:r>
              <w:rPr>
                <w:rFonts w:ascii="Arial" w:hAnsi="Arial" w:cs="Arial"/>
                <w:color w:val="252525"/>
                <w:highlight w:val="yellow"/>
              </w:rPr>
              <w:t>XX.XX</w:t>
            </w:r>
            <w:r w:rsidR="00163A66" w:rsidRPr="00163A66">
              <w:rPr>
                <w:rFonts w:ascii="Arial" w:hAnsi="Arial" w:cs="Arial"/>
                <w:color w:val="252525"/>
                <w:highlight w:val="yellow"/>
              </w:rPr>
              <w:t>%</w:t>
            </w:r>
            <w:r w:rsidR="00404677">
              <w:rPr>
                <w:rFonts w:ascii="Arial" w:hAnsi="Arial" w:cs="Arial"/>
                <w:color w:val="252525"/>
              </w:rPr>
              <w:t xml:space="preserve">        </w:t>
            </w:r>
            <w:r w:rsidR="00404677" w:rsidRPr="00404677">
              <w:rPr>
                <w:rFonts w:ascii="Arial" w:hAnsi="Arial" w:cs="Arial"/>
                <w:color w:val="FF0000"/>
              </w:rPr>
              <w:t xml:space="preserve"> </w:t>
            </w:r>
          </w:p>
          <w:p w14:paraId="01708D93" w14:textId="77777777" w:rsidR="00855ADA" w:rsidRPr="00163A66" w:rsidRDefault="00855ADA" w:rsidP="005E18CD">
            <w:pPr>
              <w:widowControl w:val="0"/>
              <w:suppressAutoHyphens/>
              <w:autoSpaceDE w:val="0"/>
              <w:autoSpaceDN w:val="0"/>
              <w:adjustRightInd w:val="0"/>
              <w:rPr>
                <w:rFonts w:ascii="Arial" w:hAnsi="Arial" w:cs="Arial"/>
                <w:color w:val="252525"/>
                <w:highlight w:val="yellow"/>
              </w:rPr>
            </w:pPr>
          </w:p>
        </w:tc>
      </w:tr>
    </w:tbl>
    <w:p w14:paraId="0A6715D9" w14:textId="77777777" w:rsidR="004672D3" w:rsidRDefault="004672D3" w:rsidP="00855ADA">
      <w:pPr>
        <w:widowControl w:val="0"/>
        <w:suppressAutoHyphens/>
        <w:autoSpaceDE w:val="0"/>
        <w:autoSpaceDN w:val="0"/>
        <w:adjustRightInd w:val="0"/>
        <w:spacing w:after="0" w:line="240" w:lineRule="auto"/>
        <w:rPr>
          <w:rFonts w:ascii="Arial" w:hAnsi="Arial" w:cs="Arial"/>
          <w:color w:val="252525"/>
        </w:rPr>
      </w:pPr>
    </w:p>
    <w:p w14:paraId="2FBDD197" w14:textId="77777777" w:rsidR="007B6790" w:rsidRDefault="00855ADA" w:rsidP="00231F49">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w:t>
      </w:r>
      <w:r w:rsidRPr="00855ADA">
        <w:rPr>
          <w:rFonts w:ascii="Arial" w:hAnsi="Arial" w:cs="Arial"/>
          <w:color w:val="252525"/>
        </w:rPr>
        <w:t>Complete data for this schedule is not available prior to 201</w:t>
      </w:r>
      <w:r w:rsidR="005557E2">
        <w:rPr>
          <w:rFonts w:ascii="Arial" w:hAnsi="Arial" w:cs="Arial"/>
          <w:color w:val="252525"/>
        </w:rPr>
        <w:t>7</w:t>
      </w:r>
    </w:p>
    <w:p w14:paraId="201E6AB2" w14:textId="77777777" w:rsidR="005557E2" w:rsidRPr="00231F49" w:rsidRDefault="005557E2" w:rsidP="00231F49">
      <w:pPr>
        <w:widowControl w:val="0"/>
        <w:suppressAutoHyphens/>
        <w:autoSpaceDE w:val="0"/>
        <w:autoSpaceDN w:val="0"/>
        <w:adjustRightInd w:val="0"/>
        <w:spacing w:after="0" w:line="240" w:lineRule="auto"/>
        <w:rPr>
          <w:rFonts w:ascii="Arial" w:hAnsi="Arial" w:cs="Arial"/>
          <w:color w:val="252525"/>
        </w:rPr>
      </w:pPr>
    </w:p>
    <w:p w14:paraId="49EFE42A" w14:textId="77777777"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Notes to Required Supplementary Information</w:t>
      </w:r>
    </w:p>
    <w:p w14:paraId="1310ED43" w14:textId="65894077"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 xml:space="preserve"> for the Year Ended June 30, 20</w:t>
      </w:r>
      <w:r w:rsidR="00214C5A">
        <w:rPr>
          <w:rFonts w:ascii="Arial" w:hAnsi="Arial" w:cs="Arial"/>
          <w:b/>
          <w:bCs/>
          <w:color w:val="252525"/>
          <w:sz w:val="28"/>
          <w:szCs w:val="28"/>
        </w:rPr>
        <w:t>2</w:t>
      </w:r>
      <w:r w:rsidR="00E8184C">
        <w:rPr>
          <w:rFonts w:ascii="Arial" w:hAnsi="Arial" w:cs="Arial"/>
          <w:b/>
          <w:bCs/>
          <w:color w:val="252525"/>
          <w:sz w:val="28"/>
          <w:szCs w:val="28"/>
        </w:rPr>
        <w:t>2</w:t>
      </w:r>
    </w:p>
    <w:p w14:paraId="0B6ADA31" w14:textId="77777777" w:rsidR="00855ADA" w:rsidRDefault="00855ADA"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14:paraId="1D413BC8" w14:textId="77777777" w:rsidR="009348EB" w:rsidRDefault="009348EB"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14:paraId="6A9F210D" w14:textId="77777777" w:rsidR="009348EB" w:rsidRDefault="009348EB"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14:paraId="75C3CECE" w14:textId="77777777" w:rsidR="009348EB" w:rsidRPr="00D6323F" w:rsidRDefault="009348EB" w:rsidP="009348EB">
      <w:pPr>
        <w:widowControl w:val="0"/>
        <w:suppressAutoHyphens/>
        <w:autoSpaceDE w:val="0"/>
        <w:autoSpaceDN w:val="0"/>
        <w:adjustRightInd w:val="0"/>
        <w:spacing w:after="0" w:line="240" w:lineRule="auto"/>
        <w:jc w:val="both"/>
        <w:rPr>
          <w:rFonts w:ascii="Arial" w:hAnsi="Arial" w:cs="Arial"/>
          <w:b/>
          <w:bCs/>
          <w:i/>
          <w:color w:val="252525"/>
        </w:rPr>
      </w:pPr>
      <w:r w:rsidRPr="00D6323F">
        <w:rPr>
          <w:rFonts w:ascii="Arial" w:hAnsi="Arial" w:cs="Arial"/>
          <w:b/>
          <w:bCs/>
          <w:i/>
          <w:color w:val="252525"/>
        </w:rPr>
        <w:t xml:space="preserve">Changes of benefit terms. </w:t>
      </w:r>
    </w:p>
    <w:p w14:paraId="73E1A1EE" w14:textId="77777777" w:rsidR="00EE45ED" w:rsidRDefault="00EE45ED" w:rsidP="00EE45ED">
      <w:pPr>
        <w:autoSpaceDE w:val="0"/>
        <w:autoSpaceDN w:val="0"/>
        <w:adjustRightInd w:val="0"/>
        <w:spacing w:after="0" w:line="240" w:lineRule="auto"/>
        <w:rPr>
          <w:rFonts w:ascii="ArialMT" w:hAnsi="ArialMT" w:cs="ArialMT"/>
        </w:rPr>
      </w:pPr>
      <w:r>
        <w:rPr>
          <w:rFonts w:ascii="ArialMT" w:hAnsi="ArialMT" w:cs="ArialMT"/>
        </w:rPr>
        <w:t>Beginning January 1, 2020, members first enrolled in the NDPERS Main System and the</w:t>
      </w:r>
    </w:p>
    <w:p w14:paraId="320E1349" w14:textId="77777777" w:rsidR="00EE45ED" w:rsidRDefault="00EE45ED" w:rsidP="00EE45ED">
      <w:pPr>
        <w:autoSpaceDE w:val="0"/>
        <w:autoSpaceDN w:val="0"/>
        <w:adjustRightInd w:val="0"/>
        <w:spacing w:after="0" w:line="240" w:lineRule="auto"/>
        <w:rPr>
          <w:rFonts w:ascii="ArialMT" w:hAnsi="ArialMT" w:cs="ArialMT"/>
        </w:rPr>
      </w:pPr>
      <w:r>
        <w:rPr>
          <w:rFonts w:ascii="ArialMT" w:hAnsi="ArialMT" w:cs="ArialMT"/>
        </w:rPr>
        <w:t>Defined Contribution Plan on or after that date will not be eligible to participate in RHIC.</w:t>
      </w:r>
    </w:p>
    <w:p w14:paraId="610699AE" w14:textId="77777777" w:rsidR="00EE45ED" w:rsidRDefault="00EE45ED" w:rsidP="00EE45ED">
      <w:pPr>
        <w:autoSpaceDE w:val="0"/>
        <w:autoSpaceDN w:val="0"/>
        <w:adjustRightInd w:val="0"/>
        <w:spacing w:after="0" w:line="240" w:lineRule="auto"/>
        <w:rPr>
          <w:rFonts w:ascii="ArialMT" w:hAnsi="ArialMT" w:cs="ArialMT"/>
        </w:rPr>
      </w:pPr>
      <w:r>
        <w:rPr>
          <w:rFonts w:ascii="ArialMT" w:hAnsi="ArialMT" w:cs="ArialMT"/>
        </w:rPr>
        <w:t>Therefore, RHIC will become for the most part a closed plan. There have been no other</w:t>
      </w:r>
    </w:p>
    <w:p w14:paraId="554290F6" w14:textId="57FB2E6A" w:rsidR="002564E7" w:rsidRPr="009348EB" w:rsidRDefault="00EE45ED" w:rsidP="00EE45ED">
      <w:pPr>
        <w:widowControl w:val="0"/>
        <w:suppressAutoHyphens/>
        <w:autoSpaceDE w:val="0"/>
        <w:autoSpaceDN w:val="0"/>
        <w:adjustRightInd w:val="0"/>
        <w:spacing w:after="0" w:line="240" w:lineRule="auto"/>
        <w:rPr>
          <w:rFonts w:ascii="Arial" w:hAnsi="Arial" w:cs="Arial"/>
          <w:iCs/>
          <w:color w:val="A6A6A6" w:themeColor="background1" w:themeShade="A6"/>
        </w:rPr>
      </w:pPr>
      <w:r>
        <w:rPr>
          <w:rFonts w:ascii="ArialMT" w:hAnsi="ArialMT" w:cs="ArialMT"/>
        </w:rPr>
        <w:t>changes in plan provisions since the previous actuarial valuation as of July 1, 20</w:t>
      </w:r>
      <w:r w:rsidR="00E8184C">
        <w:rPr>
          <w:rFonts w:ascii="ArialMT" w:hAnsi="ArialMT" w:cs="ArialMT"/>
        </w:rPr>
        <w:t>20</w:t>
      </w:r>
      <w:r>
        <w:rPr>
          <w:rFonts w:ascii="ArialMT" w:hAnsi="ArialMT" w:cs="ArialMT"/>
        </w:rPr>
        <w:t>.</w:t>
      </w:r>
    </w:p>
    <w:p w14:paraId="75C004A8" w14:textId="77777777" w:rsid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14:paraId="627F9252" w14:textId="77777777" w:rsid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14:paraId="531D4634" w14:textId="77777777" w:rsidR="009348EB" w:rsidRPr="00061CF7" w:rsidRDefault="009348EB" w:rsidP="009348EB">
      <w:pPr>
        <w:widowControl w:val="0"/>
        <w:suppressAutoHyphens/>
        <w:autoSpaceDE w:val="0"/>
        <w:autoSpaceDN w:val="0"/>
        <w:adjustRightInd w:val="0"/>
        <w:spacing w:after="0" w:line="240" w:lineRule="auto"/>
        <w:jc w:val="both"/>
        <w:rPr>
          <w:rFonts w:ascii="Arial" w:hAnsi="Arial" w:cs="Arial"/>
          <w:b/>
          <w:bCs/>
          <w:i/>
          <w:color w:val="252525"/>
        </w:rPr>
      </w:pPr>
      <w:r w:rsidRPr="00061CF7">
        <w:rPr>
          <w:rFonts w:ascii="Arial" w:hAnsi="Arial" w:cs="Arial"/>
          <w:b/>
          <w:bCs/>
          <w:i/>
          <w:color w:val="252525"/>
        </w:rPr>
        <w:t xml:space="preserve">Changes of assumptions. </w:t>
      </w:r>
    </w:p>
    <w:p w14:paraId="71FF2963" w14:textId="460864A6" w:rsidR="00EE45ED" w:rsidRDefault="00E8184C" w:rsidP="00EE45ED">
      <w:pPr>
        <w:autoSpaceDE w:val="0"/>
        <w:autoSpaceDN w:val="0"/>
        <w:adjustRightInd w:val="0"/>
        <w:spacing w:after="0" w:line="240" w:lineRule="auto"/>
        <w:rPr>
          <w:rFonts w:ascii="ArialMT" w:hAnsi="ArialMT" w:cs="ArialMT"/>
        </w:rPr>
      </w:pPr>
      <w:r>
        <w:rPr>
          <w:rFonts w:ascii="ArialMT" w:hAnsi="ArialMT" w:cs="ArialMT"/>
        </w:rPr>
        <w:t>All actuarial assumptions and the actuarial cost method are unchanged from the last actuarial valuation as of July 1, 2020.</w:t>
      </w:r>
    </w:p>
    <w:p w14:paraId="64E3BC5D" w14:textId="77777777" w:rsidR="009348EB" w:rsidRP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14:paraId="0FBE304D" w14:textId="77777777" w:rsidR="009348EB" w:rsidRP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sectPr w:rsidR="009348EB" w:rsidRPr="009348EB" w:rsidSect="00B54C20">
      <w:headerReference w:type="default" r:id="rId8"/>
      <w:footerReference w:type="default" r:id="rId9"/>
      <w:pgSz w:w="12240" w:h="15840"/>
      <w:pgMar w:top="432" w:right="1440" w:bottom="18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2C84D4" w14:textId="77777777" w:rsidR="003207EB" w:rsidRDefault="003207EB">
      <w:pPr>
        <w:spacing w:after="0" w:line="240" w:lineRule="auto"/>
      </w:pPr>
      <w:r>
        <w:separator/>
      </w:r>
    </w:p>
  </w:endnote>
  <w:endnote w:type="continuationSeparator" w:id="0">
    <w:p w14:paraId="1F00CC28" w14:textId="77777777" w:rsidR="003207EB" w:rsidRDefault="00320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340760"/>
      <w:docPartObj>
        <w:docPartGallery w:val="Page Numbers (Bottom of Page)"/>
        <w:docPartUnique/>
      </w:docPartObj>
    </w:sdtPr>
    <w:sdtEndPr>
      <w:rPr>
        <w:noProof/>
      </w:rPr>
    </w:sdtEndPr>
    <w:sdtContent>
      <w:p w14:paraId="6D98A82A" w14:textId="77777777" w:rsidR="003207EB" w:rsidRDefault="003207EB">
        <w:pPr>
          <w:pStyle w:val="Footer"/>
          <w:jc w:val="right"/>
        </w:pPr>
        <w:r>
          <w:fldChar w:fldCharType="begin"/>
        </w:r>
        <w:r>
          <w:instrText xml:space="preserve"> PAGE   \* MERGEFORMAT </w:instrText>
        </w:r>
        <w:r>
          <w:fldChar w:fldCharType="separate"/>
        </w:r>
        <w:r w:rsidR="001272E5">
          <w:rPr>
            <w:noProof/>
          </w:rPr>
          <w:t>4</w:t>
        </w:r>
        <w:r>
          <w:rPr>
            <w:noProof/>
          </w:rPr>
          <w:fldChar w:fldCharType="end"/>
        </w:r>
      </w:p>
    </w:sdtContent>
  </w:sdt>
  <w:p w14:paraId="14783232" w14:textId="77777777" w:rsidR="003207EB" w:rsidRDefault="003207EB">
    <w:pPr>
      <w:widowControl w:val="0"/>
      <w:suppressAutoHyphens/>
      <w:autoSpaceDE w:val="0"/>
      <w:autoSpaceDN w:val="0"/>
      <w:adjustRightInd w:val="0"/>
      <w:spacing w:after="0" w:line="240" w:lineRule="auto"/>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FBEC3" w14:textId="77777777" w:rsidR="003207EB" w:rsidRDefault="003207EB">
      <w:pPr>
        <w:spacing w:after="0" w:line="240" w:lineRule="auto"/>
      </w:pPr>
      <w:r>
        <w:separator/>
      </w:r>
    </w:p>
  </w:footnote>
  <w:footnote w:type="continuationSeparator" w:id="0">
    <w:p w14:paraId="0EC82FEA" w14:textId="77777777" w:rsidR="003207EB" w:rsidRDefault="00320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color w:val="000000"/>
        <w:sz w:val="24"/>
        <w:szCs w:val="24"/>
      </w:rPr>
      <w:id w:val="-1246332608"/>
      <w:docPartObj>
        <w:docPartGallery w:val="Watermarks"/>
        <w:docPartUnique/>
      </w:docPartObj>
    </w:sdtPr>
    <w:sdtEndPr/>
    <w:sdtContent>
      <w:p w14:paraId="5E4E3D0C" w14:textId="77777777" w:rsidR="003207EB" w:rsidRDefault="00E8184C">
        <w:pPr>
          <w:widowControl w:val="0"/>
          <w:suppressAutoHyphens/>
          <w:autoSpaceDE w:val="0"/>
          <w:autoSpaceDN w:val="0"/>
          <w:adjustRightInd w:val="0"/>
          <w:spacing w:before="720" w:after="0" w:line="288" w:lineRule="auto"/>
          <w:jc w:val="center"/>
          <w:rPr>
            <w:rFonts w:ascii="Arial" w:hAnsi="Arial" w:cs="Arial"/>
            <w:color w:val="000000"/>
            <w:sz w:val="24"/>
            <w:szCs w:val="24"/>
          </w:rPr>
        </w:pPr>
        <w:r>
          <w:rPr>
            <w:rFonts w:ascii="Arial" w:hAnsi="Arial" w:cs="Arial"/>
            <w:noProof/>
            <w:color w:val="000000"/>
            <w:sz w:val="24"/>
            <w:szCs w:val="24"/>
            <w:lang w:eastAsia="zh-TW"/>
          </w:rPr>
          <w:pict w14:anchorId="45E85C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1"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012A360"/>
    <w:multiLevelType w:val="singleLevel"/>
    <w:tmpl w:val="8C3983A9"/>
    <w:lvl w:ilvl="0">
      <w:numFmt w:val="decimal"/>
      <w:lvlText w:val=" "/>
      <w:lvlJc w:val="left"/>
    </w:lvl>
  </w:abstractNum>
  <w:abstractNum w:abstractNumId="1" w15:restartNumberingAfterBreak="0">
    <w:nsid w:val="818DB019"/>
    <w:multiLevelType w:val="singleLevel"/>
    <w:tmpl w:val="E75A7C79"/>
    <w:lvl w:ilvl="0">
      <w:numFmt w:val="decimal"/>
      <w:lvlText w:val="•"/>
      <w:lvlJc w:val="left"/>
    </w:lvl>
  </w:abstractNum>
  <w:abstractNum w:abstractNumId="2" w15:restartNumberingAfterBreak="0">
    <w:nsid w:val="8C772F91"/>
    <w:multiLevelType w:val="singleLevel"/>
    <w:tmpl w:val="8F4F4293"/>
    <w:lvl w:ilvl="0">
      <w:numFmt w:val="decimal"/>
      <w:lvlText w:val=" "/>
      <w:lvlJc w:val="left"/>
    </w:lvl>
  </w:abstractNum>
  <w:abstractNum w:abstractNumId="3" w15:restartNumberingAfterBreak="0">
    <w:nsid w:val="8E36E7FB"/>
    <w:multiLevelType w:val="singleLevel"/>
    <w:tmpl w:val="52109201"/>
    <w:lvl w:ilvl="0">
      <w:numFmt w:val="decimal"/>
      <w:lvlText w:val=" "/>
      <w:lvlJc w:val="left"/>
    </w:lvl>
  </w:abstractNum>
  <w:abstractNum w:abstractNumId="4" w15:restartNumberingAfterBreak="0">
    <w:nsid w:val="8FBF6EAE"/>
    <w:multiLevelType w:val="singleLevel"/>
    <w:tmpl w:val="523FD862"/>
    <w:lvl w:ilvl="0">
      <w:numFmt w:val="decimal"/>
      <w:lvlText w:val="•"/>
      <w:lvlJc w:val="left"/>
    </w:lvl>
  </w:abstractNum>
  <w:abstractNum w:abstractNumId="5" w15:restartNumberingAfterBreak="0">
    <w:nsid w:val="90618E21"/>
    <w:multiLevelType w:val="singleLevel"/>
    <w:tmpl w:val="57A2484C"/>
    <w:lvl w:ilvl="0">
      <w:numFmt w:val="decimal"/>
      <w:lvlText w:val=" "/>
      <w:lvlJc w:val="left"/>
    </w:lvl>
  </w:abstractNum>
  <w:abstractNum w:abstractNumId="6" w15:restartNumberingAfterBreak="0">
    <w:nsid w:val="965318D9"/>
    <w:multiLevelType w:val="singleLevel"/>
    <w:tmpl w:val="F5757DF0"/>
    <w:lvl w:ilvl="0">
      <w:numFmt w:val="decimal"/>
      <w:lvlText w:val=" "/>
      <w:lvlJc w:val="left"/>
    </w:lvl>
  </w:abstractNum>
  <w:abstractNum w:abstractNumId="7" w15:restartNumberingAfterBreak="0">
    <w:nsid w:val="96F01B32"/>
    <w:multiLevelType w:val="singleLevel"/>
    <w:tmpl w:val="DD0E1CB7"/>
    <w:lvl w:ilvl="0">
      <w:numFmt w:val="decimal"/>
      <w:lvlText w:val="•"/>
      <w:lvlJc w:val="left"/>
    </w:lvl>
  </w:abstractNum>
  <w:abstractNum w:abstractNumId="8" w15:restartNumberingAfterBreak="0">
    <w:nsid w:val="9BFB24B0"/>
    <w:multiLevelType w:val="singleLevel"/>
    <w:tmpl w:val="A990CB78"/>
    <w:lvl w:ilvl="0">
      <w:numFmt w:val="decimal"/>
      <w:lvlText w:val="•"/>
      <w:lvlJc w:val="left"/>
    </w:lvl>
  </w:abstractNum>
  <w:abstractNum w:abstractNumId="9" w15:restartNumberingAfterBreak="0">
    <w:nsid w:val="9D1796A7"/>
    <w:multiLevelType w:val="singleLevel"/>
    <w:tmpl w:val="3A3B1EE0"/>
    <w:lvl w:ilvl="0">
      <w:numFmt w:val="decimal"/>
      <w:lvlText w:val=" "/>
      <w:lvlJc w:val="left"/>
    </w:lvl>
  </w:abstractNum>
  <w:abstractNum w:abstractNumId="10" w15:restartNumberingAfterBreak="0">
    <w:nsid w:val="A0D2A548"/>
    <w:multiLevelType w:val="singleLevel"/>
    <w:tmpl w:val="04413BC6"/>
    <w:lvl w:ilvl="0">
      <w:numFmt w:val="decimal"/>
      <w:lvlText w:val="•"/>
      <w:lvlJc w:val="left"/>
    </w:lvl>
  </w:abstractNum>
  <w:abstractNum w:abstractNumId="11" w15:restartNumberingAfterBreak="0">
    <w:nsid w:val="A5684DC4"/>
    <w:multiLevelType w:val="singleLevel"/>
    <w:tmpl w:val="95162421"/>
    <w:lvl w:ilvl="0">
      <w:numFmt w:val="decimal"/>
      <w:lvlText w:val="•"/>
      <w:lvlJc w:val="left"/>
    </w:lvl>
  </w:abstractNum>
  <w:abstractNum w:abstractNumId="12" w15:restartNumberingAfterBreak="0">
    <w:nsid w:val="B15E33D1"/>
    <w:multiLevelType w:val="singleLevel"/>
    <w:tmpl w:val="25E811CE"/>
    <w:lvl w:ilvl="0">
      <w:numFmt w:val="decimal"/>
      <w:lvlText w:val=" "/>
      <w:lvlJc w:val="left"/>
    </w:lvl>
  </w:abstractNum>
  <w:abstractNum w:abstractNumId="13" w15:restartNumberingAfterBreak="0">
    <w:nsid w:val="B2E9479D"/>
    <w:multiLevelType w:val="singleLevel"/>
    <w:tmpl w:val="07B771C2"/>
    <w:lvl w:ilvl="0">
      <w:numFmt w:val="decimal"/>
      <w:lvlText w:val="•"/>
      <w:lvlJc w:val="left"/>
    </w:lvl>
  </w:abstractNum>
  <w:abstractNum w:abstractNumId="14" w15:restartNumberingAfterBreak="0">
    <w:nsid w:val="B6D6DEFA"/>
    <w:multiLevelType w:val="singleLevel"/>
    <w:tmpl w:val="491D1B24"/>
    <w:lvl w:ilvl="0">
      <w:numFmt w:val="decimal"/>
      <w:lvlText w:val="•"/>
      <w:lvlJc w:val="left"/>
    </w:lvl>
  </w:abstractNum>
  <w:abstractNum w:abstractNumId="15" w15:restartNumberingAfterBreak="0">
    <w:nsid w:val="B9DC6EB2"/>
    <w:multiLevelType w:val="singleLevel"/>
    <w:tmpl w:val="CA754EB4"/>
    <w:lvl w:ilvl="0">
      <w:numFmt w:val="decimal"/>
      <w:lvlText w:val=" "/>
      <w:lvlJc w:val="left"/>
    </w:lvl>
  </w:abstractNum>
  <w:abstractNum w:abstractNumId="16" w15:restartNumberingAfterBreak="0">
    <w:nsid w:val="BC9118C6"/>
    <w:multiLevelType w:val="singleLevel"/>
    <w:tmpl w:val="300FD039"/>
    <w:lvl w:ilvl="0">
      <w:numFmt w:val="decimal"/>
      <w:lvlText w:val=" "/>
      <w:lvlJc w:val="left"/>
    </w:lvl>
  </w:abstractNum>
  <w:abstractNum w:abstractNumId="17" w15:restartNumberingAfterBreak="0">
    <w:nsid w:val="BE39F7D9"/>
    <w:multiLevelType w:val="singleLevel"/>
    <w:tmpl w:val="13027E4C"/>
    <w:lvl w:ilvl="0">
      <w:numFmt w:val="decimal"/>
      <w:lvlText w:val="•"/>
      <w:lvlJc w:val="left"/>
    </w:lvl>
  </w:abstractNum>
  <w:abstractNum w:abstractNumId="18" w15:restartNumberingAfterBreak="0">
    <w:nsid w:val="C26E5E00"/>
    <w:multiLevelType w:val="singleLevel"/>
    <w:tmpl w:val="D2E336CD"/>
    <w:lvl w:ilvl="0">
      <w:numFmt w:val="decimal"/>
      <w:lvlText w:val=" "/>
      <w:lvlJc w:val="left"/>
    </w:lvl>
  </w:abstractNum>
  <w:abstractNum w:abstractNumId="19" w15:restartNumberingAfterBreak="0">
    <w:nsid w:val="C4B6C400"/>
    <w:multiLevelType w:val="singleLevel"/>
    <w:tmpl w:val="A1FD4FE5"/>
    <w:lvl w:ilvl="0">
      <w:numFmt w:val="decimal"/>
      <w:lvlText w:val=" "/>
      <w:lvlJc w:val="left"/>
    </w:lvl>
  </w:abstractNum>
  <w:abstractNum w:abstractNumId="20" w15:restartNumberingAfterBreak="0">
    <w:nsid w:val="C9431B46"/>
    <w:multiLevelType w:val="singleLevel"/>
    <w:tmpl w:val="632D9461"/>
    <w:lvl w:ilvl="0">
      <w:numFmt w:val="decimal"/>
      <w:lvlText w:val="•"/>
      <w:lvlJc w:val="left"/>
    </w:lvl>
  </w:abstractNum>
  <w:abstractNum w:abstractNumId="21" w15:restartNumberingAfterBreak="0">
    <w:nsid w:val="CE7A4C4D"/>
    <w:multiLevelType w:val="singleLevel"/>
    <w:tmpl w:val="E5CB2C19"/>
    <w:lvl w:ilvl="0">
      <w:numFmt w:val="decimal"/>
      <w:lvlText w:val="•"/>
      <w:lvlJc w:val="left"/>
    </w:lvl>
  </w:abstractNum>
  <w:abstractNum w:abstractNumId="22" w15:restartNumberingAfterBreak="0">
    <w:nsid w:val="CF991DE9"/>
    <w:multiLevelType w:val="singleLevel"/>
    <w:tmpl w:val="9E1E8F59"/>
    <w:lvl w:ilvl="0">
      <w:numFmt w:val="decimal"/>
      <w:lvlText w:val=" "/>
      <w:lvlJc w:val="left"/>
    </w:lvl>
  </w:abstractNum>
  <w:abstractNum w:abstractNumId="23" w15:restartNumberingAfterBreak="0">
    <w:nsid w:val="D6A87DA3"/>
    <w:multiLevelType w:val="singleLevel"/>
    <w:tmpl w:val="D0463268"/>
    <w:lvl w:ilvl="0">
      <w:numFmt w:val="decimal"/>
      <w:lvlText w:val=" "/>
      <w:lvlJc w:val="left"/>
    </w:lvl>
  </w:abstractNum>
  <w:abstractNum w:abstractNumId="24" w15:restartNumberingAfterBreak="0">
    <w:nsid w:val="D7BCD8AC"/>
    <w:multiLevelType w:val="singleLevel"/>
    <w:tmpl w:val="1A93A706"/>
    <w:lvl w:ilvl="0">
      <w:numFmt w:val="decimal"/>
      <w:lvlText w:val=" "/>
      <w:lvlJc w:val="left"/>
    </w:lvl>
  </w:abstractNum>
  <w:abstractNum w:abstractNumId="25" w15:restartNumberingAfterBreak="0">
    <w:nsid w:val="D80D9382"/>
    <w:multiLevelType w:val="singleLevel"/>
    <w:tmpl w:val="248D5C64"/>
    <w:lvl w:ilvl="0">
      <w:numFmt w:val="decimal"/>
      <w:lvlText w:val="•"/>
      <w:lvlJc w:val="left"/>
    </w:lvl>
  </w:abstractNum>
  <w:abstractNum w:abstractNumId="26" w15:restartNumberingAfterBreak="0">
    <w:nsid w:val="DA793FD1"/>
    <w:multiLevelType w:val="singleLevel"/>
    <w:tmpl w:val="031CB21B"/>
    <w:lvl w:ilvl="0">
      <w:numFmt w:val="decimal"/>
      <w:lvlText w:val=" "/>
      <w:lvlJc w:val="left"/>
    </w:lvl>
  </w:abstractNum>
  <w:abstractNum w:abstractNumId="27" w15:restartNumberingAfterBreak="0">
    <w:nsid w:val="DEB302D1"/>
    <w:multiLevelType w:val="singleLevel"/>
    <w:tmpl w:val="497A5F1E"/>
    <w:lvl w:ilvl="0">
      <w:numFmt w:val="decimal"/>
      <w:lvlText w:val="•"/>
      <w:lvlJc w:val="left"/>
    </w:lvl>
  </w:abstractNum>
  <w:abstractNum w:abstractNumId="28" w15:restartNumberingAfterBreak="0">
    <w:nsid w:val="E30CEFFE"/>
    <w:multiLevelType w:val="singleLevel"/>
    <w:tmpl w:val="69E09CA0"/>
    <w:lvl w:ilvl="0">
      <w:numFmt w:val="decimal"/>
      <w:lvlText w:val=" "/>
      <w:lvlJc w:val="left"/>
    </w:lvl>
  </w:abstractNum>
  <w:abstractNum w:abstractNumId="29" w15:restartNumberingAfterBreak="0">
    <w:nsid w:val="E447FA58"/>
    <w:multiLevelType w:val="singleLevel"/>
    <w:tmpl w:val="06CF2070"/>
    <w:lvl w:ilvl="0">
      <w:numFmt w:val="decimal"/>
      <w:lvlText w:val=" "/>
      <w:lvlJc w:val="left"/>
    </w:lvl>
  </w:abstractNum>
  <w:abstractNum w:abstractNumId="30" w15:restartNumberingAfterBreak="0">
    <w:nsid w:val="E45766E6"/>
    <w:multiLevelType w:val="singleLevel"/>
    <w:tmpl w:val="A7BCDF45"/>
    <w:lvl w:ilvl="0">
      <w:numFmt w:val="decimal"/>
      <w:lvlText w:val="•"/>
      <w:lvlJc w:val="left"/>
    </w:lvl>
  </w:abstractNum>
  <w:abstractNum w:abstractNumId="31" w15:restartNumberingAfterBreak="0">
    <w:nsid w:val="F463D1F6"/>
    <w:multiLevelType w:val="singleLevel"/>
    <w:tmpl w:val="41D34700"/>
    <w:lvl w:ilvl="0">
      <w:numFmt w:val="decimal"/>
      <w:lvlText w:val=" "/>
      <w:lvlJc w:val="left"/>
    </w:lvl>
  </w:abstractNum>
  <w:abstractNum w:abstractNumId="32" w15:restartNumberingAfterBreak="0">
    <w:nsid w:val="F5F61E1C"/>
    <w:multiLevelType w:val="singleLevel"/>
    <w:tmpl w:val="9D24DF7B"/>
    <w:lvl w:ilvl="0">
      <w:numFmt w:val="decimal"/>
      <w:lvlText w:val="•"/>
      <w:lvlJc w:val="left"/>
    </w:lvl>
  </w:abstractNum>
  <w:abstractNum w:abstractNumId="33" w15:restartNumberingAfterBreak="0">
    <w:nsid w:val="F84B596D"/>
    <w:multiLevelType w:val="singleLevel"/>
    <w:tmpl w:val="D0C034F6"/>
    <w:lvl w:ilvl="0">
      <w:numFmt w:val="decimal"/>
      <w:lvlText w:val="•"/>
      <w:lvlJc w:val="left"/>
    </w:lvl>
  </w:abstractNum>
  <w:abstractNum w:abstractNumId="34" w15:restartNumberingAfterBreak="0">
    <w:nsid w:val="065EA8EE"/>
    <w:multiLevelType w:val="singleLevel"/>
    <w:tmpl w:val="1548BA7E"/>
    <w:lvl w:ilvl="0">
      <w:numFmt w:val="decimal"/>
      <w:lvlText w:val="•"/>
      <w:lvlJc w:val="left"/>
    </w:lvl>
  </w:abstractNum>
  <w:abstractNum w:abstractNumId="35" w15:restartNumberingAfterBreak="0">
    <w:nsid w:val="07008B22"/>
    <w:multiLevelType w:val="singleLevel"/>
    <w:tmpl w:val="AFEDC1ED"/>
    <w:lvl w:ilvl="0">
      <w:numFmt w:val="decimal"/>
      <w:lvlText w:val=" "/>
      <w:lvlJc w:val="left"/>
    </w:lvl>
  </w:abstractNum>
  <w:abstractNum w:abstractNumId="36" w15:restartNumberingAfterBreak="0">
    <w:nsid w:val="0D522C1D"/>
    <w:multiLevelType w:val="hybridMultilevel"/>
    <w:tmpl w:val="2E46891E"/>
    <w:lvl w:ilvl="0" w:tplc="B88089E8">
      <w:start w:val="1"/>
      <w:numFmt w:val="decimal"/>
      <w:pStyle w:val="B2NotesNumbering"/>
      <w:lvlText w:val="Note %1 - "/>
      <w:lvlJc w:val="left"/>
      <w:pPr>
        <w:ind w:left="900" w:hanging="360"/>
      </w:pPr>
      <w:rPr>
        <w:rFonts w:hint="default"/>
        <w:b/>
        <w:i w:val="0"/>
        <w:caps w:val="0"/>
        <w:sz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7" w15:restartNumberingAfterBreak="0">
    <w:nsid w:val="181AA9F5"/>
    <w:multiLevelType w:val="singleLevel"/>
    <w:tmpl w:val="2D081818"/>
    <w:lvl w:ilvl="0">
      <w:numFmt w:val="decimal"/>
      <w:lvlText w:val="•"/>
      <w:lvlJc w:val="left"/>
    </w:lvl>
  </w:abstractNum>
  <w:abstractNum w:abstractNumId="38" w15:restartNumberingAfterBreak="0">
    <w:nsid w:val="1C98A24D"/>
    <w:multiLevelType w:val="singleLevel"/>
    <w:tmpl w:val="471636B6"/>
    <w:lvl w:ilvl="0">
      <w:numFmt w:val="decimal"/>
      <w:lvlText w:val="•"/>
      <w:lvlJc w:val="left"/>
    </w:lvl>
  </w:abstractNum>
  <w:abstractNum w:abstractNumId="39" w15:restartNumberingAfterBreak="0">
    <w:nsid w:val="1DEE0A30"/>
    <w:multiLevelType w:val="singleLevel"/>
    <w:tmpl w:val="BEA443A3"/>
    <w:lvl w:ilvl="0">
      <w:numFmt w:val="decimal"/>
      <w:lvlText w:val="•"/>
      <w:lvlJc w:val="left"/>
    </w:lvl>
  </w:abstractNum>
  <w:abstractNum w:abstractNumId="40" w15:restartNumberingAfterBreak="0">
    <w:nsid w:val="1E6478F6"/>
    <w:multiLevelType w:val="singleLevel"/>
    <w:tmpl w:val="3E516A5B"/>
    <w:lvl w:ilvl="0">
      <w:numFmt w:val="decimal"/>
      <w:lvlText w:val=" "/>
      <w:lvlJc w:val="left"/>
    </w:lvl>
  </w:abstractNum>
  <w:abstractNum w:abstractNumId="41" w15:restartNumberingAfterBreak="0">
    <w:nsid w:val="1F1FD3EC"/>
    <w:multiLevelType w:val="singleLevel"/>
    <w:tmpl w:val="1425E6AC"/>
    <w:lvl w:ilvl="0">
      <w:numFmt w:val="decimal"/>
      <w:lvlText w:val="•"/>
      <w:lvlJc w:val="left"/>
    </w:lvl>
  </w:abstractNum>
  <w:abstractNum w:abstractNumId="42" w15:restartNumberingAfterBreak="0">
    <w:nsid w:val="256C57E6"/>
    <w:multiLevelType w:val="hybridMultilevel"/>
    <w:tmpl w:val="756C4B44"/>
    <w:lvl w:ilvl="0" w:tplc="FDBA725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66F18B9"/>
    <w:multiLevelType w:val="singleLevel"/>
    <w:tmpl w:val="72F84C2F"/>
    <w:lvl w:ilvl="0">
      <w:numFmt w:val="decimal"/>
      <w:lvlText w:val=" "/>
      <w:lvlJc w:val="left"/>
    </w:lvl>
  </w:abstractNum>
  <w:abstractNum w:abstractNumId="44" w15:restartNumberingAfterBreak="0">
    <w:nsid w:val="28BE42C8"/>
    <w:multiLevelType w:val="singleLevel"/>
    <w:tmpl w:val="8A1EB1F4"/>
    <w:lvl w:ilvl="0">
      <w:numFmt w:val="decimal"/>
      <w:lvlText w:val=" "/>
      <w:lvlJc w:val="left"/>
    </w:lvl>
  </w:abstractNum>
  <w:abstractNum w:abstractNumId="45" w15:restartNumberingAfterBreak="0">
    <w:nsid w:val="2BA16863"/>
    <w:multiLevelType w:val="hybridMultilevel"/>
    <w:tmpl w:val="C51AF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BF97464"/>
    <w:multiLevelType w:val="singleLevel"/>
    <w:tmpl w:val="5007D466"/>
    <w:lvl w:ilvl="0">
      <w:numFmt w:val="decimal"/>
      <w:lvlText w:val="•"/>
      <w:lvlJc w:val="left"/>
    </w:lvl>
  </w:abstractNum>
  <w:abstractNum w:abstractNumId="47" w15:restartNumberingAfterBreak="0">
    <w:nsid w:val="2D6C2F99"/>
    <w:multiLevelType w:val="singleLevel"/>
    <w:tmpl w:val="61A38C8C"/>
    <w:lvl w:ilvl="0">
      <w:numFmt w:val="decimal"/>
      <w:lvlText w:val=" "/>
      <w:lvlJc w:val="left"/>
    </w:lvl>
  </w:abstractNum>
  <w:abstractNum w:abstractNumId="48" w15:restartNumberingAfterBreak="0">
    <w:nsid w:val="3A038CC5"/>
    <w:multiLevelType w:val="singleLevel"/>
    <w:tmpl w:val="352C7967"/>
    <w:lvl w:ilvl="0">
      <w:numFmt w:val="decimal"/>
      <w:lvlText w:val=" "/>
      <w:lvlJc w:val="left"/>
    </w:lvl>
  </w:abstractNum>
  <w:abstractNum w:abstractNumId="49" w15:restartNumberingAfterBreak="0">
    <w:nsid w:val="3C0B5F4D"/>
    <w:multiLevelType w:val="singleLevel"/>
    <w:tmpl w:val="2FA1C34B"/>
    <w:lvl w:ilvl="0">
      <w:numFmt w:val="decimal"/>
      <w:lvlText w:val=" "/>
      <w:lvlJc w:val="left"/>
    </w:lvl>
  </w:abstractNum>
  <w:abstractNum w:abstractNumId="50" w15:restartNumberingAfterBreak="0">
    <w:nsid w:val="428B9A6D"/>
    <w:multiLevelType w:val="singleLevel"/>
    <w:tmpl w:val="B8F52C14"/>
    <w:lvl w:ilvl="0">
      <w:numFmt w:val="decimal"/>
      <w:lvlText w:val=" "/>
      <w:lvlJc w:val="left"/>
    </w:lvl>
  </w:abstractNum>
  <w:abstractNum w:abstractNumId="51" w15:restartNumberingAfterBreak="0">
    <w:nsid w:val="44DED53B"/>
    <w:multiLevelType w:val="singleLevel"/>
    <w:tmpl w:val="82233633"/>
    <w:lvl w:ilvl="0">
      <w:numFmt w:val="decimal"/>
      <w:lvlText w:val=" "/>
      <w:lvlJc w:val="left"/>
    </w:lvl>
  </w:abstractNum>
  <w:abstractNum w:abstractNumId="52" w15:restartNumberingAfterBreak="0">
    <w:nsid w:val="44E29F36"/>
    <w:multiLevelType w:val="singleLevel"/>
    <w:tmpl w:val="16C89526"/>
    <w:lvl w:ilvl="0">
      <w:numFmt w:val="decimal"/>
      <w:lvlText w:val="•"/>
      <w:lvlJc w:val="left"/>
    </w:lvl>
  </w:abstractNum>
  <w:abstractNum w:abstractNumId="53" w15:restartNumberingAfterBreak="0">
    <w:nsid w:val="4AF47040"/>
    <w:multiLevelType w:val="singleLevel"/>
    <w:tmpl w:val="3E1CA149"/>
    <w:lvl w:ilvl="0">
      <w:numFmt w:val="decimal"/>
      <w:lvlText w:val=" "/>
      <w:lvlJc w:val="left"/>
    </w:lvl>
  </w:abstractNum>
  <w:abstractNum w:abstractNumId="54" w15:restartNumberingAfterBreak="0">
    <w:nsid w:val="4B6DACC7"/>
    <w:multiLevelType w:val="singleLevel"/>
    <w:tmpl w:val="4A5EE9DA"/>
    <w:lvl w:ilvl="0">
      <w:numFmt w:val="decimal"/>
      <w:lvlText w:val="•"/>
      <w:lvlJc w:val="left"/>
    </w:lvl>
  </w:abstractNum>
  <w:abstractNum w:abstractNumId="55" w15:restartNumberingAfterBreak="0">
    <w:nsid w:val="5013159A"/>
    <w:multiLevelType w:val="singleLevel"/>
    <w:tmpl w:val="CDB1035D"/>
    <w:lvl w:ilvl="0">
      <w:numFmt w:val="decimal"/>
      <w:lvlText w:val="•"/>
      <w:lvlJc w:val="left"/>
    </w:lvl>
  </w:abstractNum>
  <w:abstractNum w:abstractNumId="56" w15:restartNumberingAfterBreak="0">
    <w:nsid w:val="50D7A38B"/>
    <w:multiLevelType w:val="singleLevel"/>
    <w:tmpl w:val="6CB3F1DE"/>
    <w:lvl w:ilvl="0">
      <w:numFmt w:val="decimal"/>
      <w:lvlText w:val=" "/>
      <w:lvlJc w:val="left"/>
    </w:lvl>
  </w:abstractNum>
  <w:abstractNum w:abstractNumId="57" w15:restartNumberingAfterBreak="0">
    <w:nsid w:val="529699CD"/>
    <w:multiLevelType w:val="singleLevel"/>
    <w:tmpl w:val="33B4B52F"/>
    <w:lvl w:ilvl="0">
      <w:numFmt w:val="decimal"/>
      <w:lvlText w:val="•"/>
      <w:lvlJc w:val="left"/>
    </w:lvl>
  </w:abstractNum>
  <w:abstractNum w:abstractNumId="58" w15:restartNumberingAfterBreak="0">
    <w:nsid w:val="52CD5C08"/>
    <w:multiLevelType w:val="hybridMultilevel"/>
    <w:tmpl w:val="C9E4C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33D2F9C"/>
    <w:multiLevelType w:val="singleLevel"/>
    <w:tmpl w:val="41FFE8F0"/>
    <w:lvl w:ilvl="0">
      <w:numFmt w:val="decimal"/>
      <w:lvlText w:val="•"/>
      <w:lvlJc w:val="left"/>
    </w:lvl>
  </w:abstractNum>
  <w:abstractNum w:abstractNumId="60" w15:restartNumberingAfterBreak="0">
    <w:nsid w:val="53D80004"/>
    <w:multiLevelType w:val="singleLevel"/>
    <w:tmpl w:val="03E40858"/>
    <w:lvl w:ilvl="0">
      <w:numFmt w:val="decimal"/>
      <w:lvlText w:val="•"/>
      <w:lvlJc w:val="left"/>
    </w:lvl>
  </w:abstractNum>
  <w:abstractNum w:abstractNumId="61" w15:restartNumberingAfterBreak="0">
    <w:nsid w:val="5429A923"/>
    <w:multiLevelType w:val="singleLevel"/>
    <w:tmpl w:val="3BBCEB88"/>
    <w:lvl w:ilvl="0">
      <w:numFmt w:val="decimal"/>
      <w:lvlText w:val=" "/>
      <w:lvlJc w:val="left"/>
    </w:lvl>
  </w:abstractNum>
  <w:abstractNum w:abstractNumId="62" w15:restartNumberingAfterBreak="0">
    <w:nsid w:val="5808BE1B"/>
    <w:multiLevelType w:val="singleLevel"/>
    <w:tmpl w:val="AB68C1D6"/>
    <w:lvl w:ilvl="0">
      <w:numFmt w:val="decimal"/>
      <w:lvlText w:val="•"/>
      <w:lvlJc w:val="left"/>
    </w:lvl>
  </w:abstractNum>
  <w:abstractNum w:abstractNumId="63" w15:restartNumberingAfterBreak="0">
    <w:nsid w:val="59B4D971"/>
    <w:multiLevelType w:val="singleLevel"/>
    <w:tmpl w:val="DA62EF7A"/>
    <w:lvl w:ilvl="0">
      <w:numFmt w:val="decimal"/>
      <w:lvlText w:val="•"/>
      <w:lvlJc w:val="left"/>
    </w:lvl>
  </w:abstractNum>
  <w:abstractNum w:abstractNumId="64" w15:restartNumberingAfterBreak="0">
    <w:nsid w:val="5B3273FC"/>
    <w:multiLevelType w:val="singleLevel"/>
    <w:tmpl w:val="10363BBD"/>
    <w:lvl w:ilvl="0">
      <w:numFmt w:val="decimal"/>
      <w:lvlText w:val="•"/>
      <w:lvlJc w:val="left"/>
    </w:lvl>
  </w:abstractNum>
  <w:abstractNum w:abstractNumId="65" w15:restartNumberingAfterBreak="0">
    <w:nsid w:val="5D6BDE1E"/>
    <w:multiLevelType w:val="singleLevel"/>
    <w:tmpl w:val="2741F90F"/>
    <w:lvl w:ilvl="0">
      <w:numFmt w:val="decimal"/>
      <w:lvlText w:val=" "/>
      <w:lvlJc w:val="left"/>
    </w:lvl>
  </w:abstractNum>
  <w:abstractNum w:abstractNumId="66" w15:restartNumberingAfterBreak="0">
    <w:nsid w:val="5D9DCEB4"/>
    <w:multiLevelType w:val="singleLevel"/>
    <w:tmpl w:val="D3F5DEB0"/>
    <w:lvl w:ilvl="0">
      <w:numFmt w:val="decimal"/>
      <w:lvlText w:val=" "/>
      <w:lvlJc w:val="left"/>
    </w:lvl>
  </w:abstractNum>
  <w:abstractNum w:abstractNumId="67" w15:restartNumberingAfterBreak="0">
    <w:nsid w:val="5E61A8F7"/>
    <w:multiLevelType w:val="singleLevel"/>
    <w:tmpl w:val="7EF5FF78"/>
    <w:lvl w:ilvl="0">
      <w:numFmt w:val="decimal"/>
      <w:lvlText w:val="•"/>
      <w:lvlJc w:val="left"/>
    </w:lvl>
  </w:abstractNum>
  <w:abstractNum w:abstractNumId="68" w15:restartNumberingAfterBreak="0">
    <w:nsid w:val="5F760D46"/>
    <w:multiLevelType w:val="singleLevel"/>
    <w:tmpl w:val="4F48C96C"/>
    <w:lvl w:ilvl="0">
      <w:numFmt w:val="decimal"/>
      <w:lvlText w:val=" "/>
      <w:lvlJc w:val="left"/>
    </w:lvl>
  </w:abstractNum>
  <w:abstractNum w:abstractNumId="69" w15:restartNumberingAfterBreak="0">
    <w:nsid w:val="613CB008"/>
    <w:multiLevelType w:val="singleLevel"/>
    <w:tmpl w:val="9BDE3009"/>
    <w:lvl w:ilvl="0">
      <w:numFmt w:val="decimal"/>
      <w:lvlText w:val=" "/>
      <w:lvlJc w:val="left"/>
    </w:lvl>
  </w:abstractNum>
  <w:abstractNum w:abstractNumId="70" w15:restartNumberingAfterBreak="0">
    <w:nsid w:val="64EF0A98"/>
    <w:multiLevelType w:val="singleLevel"/>
    <w:tmpl w:val="D809AEC3"/>
    <w:lvl w:ilvl="0">
      <w:numFmt w:val="decimal"/>
      <w:lvlText w:val="•"/>
      <w:lvlJc w:val="left"/>
    </w:lvl>
  </w:abstractNum>
  <w:abstractNum w:abstractNumId="71" w15:restartNumberingAfterBreak="0">
    <w:nsid w:val="67672431"/>
    <w:multiLevelType w:val="hybridMultilevel"/>
    <w:tmpl w:val="4A4A8C98"/>
    <w:lvl w:ilvl="0" w:tplc="2A4E63E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8E6357B"/>
    <w:multiLevelType w:val="singleLevel"/>
    <w:tmpl w:val="DB237B1D"/>
    <w:lvl w:ilvl="0">
      <w:numFmt w:val="decimal"/>
      <w:lvlText w:val="•"/>
      <w:lvlJc w:val="left"/>
    </w:lvl>
  </w:abstractNum>
  <w:abstractNum w:abstractNumId="73" w15:restartNumberingAfterBreak="0">
    <w:nsid w:val="692B33CC"/>
    <w:multiLevelType w:val="singleLevel"/>
    <w:tmpl w:val="7E6AA8C6"/>
    <w:lvl w:ilvl="0">
      <w:numFmt w:val="decimal"/>
      <w:lvlText w:val="•"/>
      <w:lvlJc w:val="left"/>
    </w:lvl>
  </w:abstractNum>
  <w:abstractNum w:abstractNumId="74" w15:restartNumberingAfterBreak="0">
    <w:nsid w:val="693A6C42"/>
    <w:multiLevelType w:val="singleLevel"/>
    <w:tmpl w:val="DABB4A42"/>
    <w:lvl w:ilvl="0">
      <w:numFmt w:val="decimal"/>
      <w:lvlText w:val=" "/>
      <w:lvlJc w:val="left"/>
    </w:lvl>
  </w:abstractNum>
  <w:abstractNum w:abstractNumId="75" w15:restartNumberingAfterBreak="0">
    <w:nsid w:val="6AC65CA3"/>
    <w:multiLevelType w:val="singleLevel"/>
    <w:tmpl w:val="512539AB"/>
    <w:lvl w:ilvl="0">
      <w:numFmt w:val="decimal"/>
      <w:lvlText w:val=" "/>
      <w:lvlJc w:val="left"/>
    </w:lvl>
  </w:abstractNum>
  <w:abstractNum w:abstractNumId="76" w15:restartNumberingAfterBreak="0">
    <w:nsid w:val="6B2BE3F9"/>
    <w:multiLevelType w:val="singleLevel"/>
    <w:tmpl w:val="7447DB4C"/>
    <w:lvl w:ilvl="0">
      <w:numFmt w:val="decimal"/>
      <w:lvlText w:val="•"/>
      <w:lvlJc w:val="left"/>
    </w:lvl>
  </w:abstractNum>
  <w:abstractNum w:abstractNumId="77" w15:restartNumberingAfterBreak="0">
    <w:nsid w:val="6C9FF7F2"/>
    <w:multiLevelType w:val="singleLevel"/>
    <w:tmpl w:val="88B0ECFD"/>
    <w:lvl w:ilvl="0">
      <w:numFmt w:val="decimal"/>
      <w:lvlText w:val=" "/>
      <w:lvlJc w:val="left"/>
    </w:lvl>
  </w:abstractNum>
  <w:abstractNum w:abstractNumId="78" w15:restartNumberingAfterBreak="0">
    <w:nsid w:val="6F129A1B"/>
    <w:multiLevelType w:val="singleLevel"/>
    <w:tmpl w:val="89FA9CE1"/>
    <w:lvl w:ilvl="0">
      <w:numFmt w:val="decimal"/>
      <w:lvlText w:val="•"/>
      <w:lvlJc w:val="left"/>
    </w:lvl>
  </w:abstractNum>
  <w:abstractNum w:abstractNumId="79" w15:restartNumberingAfterBreak="0">
    <w:nsid w:val="70511635"/>
    <w:multiLevelType w:val="singleLevel"/>
    <w:tmpl w:val="36EB7A82"/>
    <w:lvl w:ilvl="0">
      <w:numFmt w:val="decimal"/>
      <w:lvlText w:val="•"/>
      <w:lvlJc w:val="left"/>
    </w:lvl>
  </w:abstractNum>
  <w:abstractNum w:abstractNumId="80" w15:restartNumberingAfterBreak="0">
    <w:nsid w:val="72A90DB4"/>
    <w:multiLevelType w:val="singleLevel"/>
    <w:tmpl w:val="3CC8A2C7"/>
    <w:lvl w:ilvl="0">
      <w:numFmt w:val="decimal"/>
      <w:lvlText w:val="•"/>
      <w:lvlJc w:val="left"/>
    </w:lvl>
  </w:abstractNum>
  <w:abstractNum w:abstractNumId="81" w15:restartNumberingAfterBreak="0">
    <w:nsid w:val="7993B6B2"/>
    <w:multiLevelType w:val="singleLevel"/>
    <w:tmpl w:val="17D58C35"/>
    <w:lvl w:ilvl="0">
      <w:numFmt w:val="decimal"/>
      <w:lvlText w:val="•"/>
      <w:lvlJc w:val="left"/>
    </w:lvl>
  </w:abstractNum>
  <w:abstractNum w:abstractNumId="82" w15:restartNumberingAfterBreak="0">
    <w:nsid w:val="7AF563B6"/>
    <w:multiLevelType w:val="singleLevel"/>
    <w:tmpl w:val="AF158AC9"/>
    <w:lvl w:ilvl="0">
      <w:numFmt w:val="decimal"/>
      <w:lvlText w:val=" "/>
      <w:lvlJc w:val="left"/>
    </w:lvl>
  </w:abstractNum>
  <w:abstractNum w:abstractNumId="83" w15:restartNumberingAfterBreak="0">
    <w:nsid w:val="7EB9154E"/>
    <w:multiLevelType w:val="singleLevel"/>
    <w:tmpl w:val="B342567C"/>
    <w:lvl w:ilvl="0">
      <w:numFmt w:val="decimal"/>
      <w:lvlText w:val=" "/>
      <w:lvlJc w:val="left"/>
    </w:lvl>
  </w:abstractNum>
  <w:abstractNum w:abstractNumId="84" w15:restartNumberingAfterBreak="0">
    <w:nsid w:val="7EE65810"/>
    <w:multiLevelType w:val="singleLevel"/>
    <w:tmpl w:val="5B66065C"/>
    <w:lvl w:ilvl="0">
      <w:numFmt w:val="decimal"/>
      <w:lvlText w:val=" "/>
      <w:lvlJc w:val="left"/>
    </w:lvl>
  </w:abstractNum>
  <w:num w:numId="1">
    <w:abstractNumId w:val="76"/>
  </w:num>
  <w:num w:numId="2">
    <w:abstractNumId w:val="5"/>
  </w:num>
  <w:num w:numId="3">
    <w:abstractNumId w:val="78"/>
  </w:num>
  <w:num w:numId="4">
    <w:abstractNumId w:val="47"/>
  </w:num>
  <w:num w:numId="5">
    <w:abstractNumId w:val="79"/>
  </w:num>
  <w:num w:numId="6">
    <w:abstractNumId w:val="43"/>
  </w:num>
  <w:num w:numId="7">
    <w:abstractNumId w:val="67"/>
  </w:num>
  <w:num w:numId="8">
    <w:abstractNumId w:val="61"/>
  </w:num>
  <w:num w:numId="9">
    <w:abstractNumId w:val="11"/>
  </w:num>
  <w:num w:numId="10">
    <w:abstractNumId w:val="82"/>
  </w:num>
  <w:num w:numId="11">
    <w:abstractNumId w:val="17"/>
  </w:num>
  <w:num w:numId="12">
    <w:abstractNumId w:val="29"/>
  </w:num>
  <w:num w:numId="13">
    <w:abstractNumId w:val="80"/>
  </w:num>
  <w:num w:numId="14">
    <w:abstractNumId w:val="31"/>
  </w:num>
  <w:num w:numId="15">
    <w:abstractNumId w:val="81"/>
  </w:num>
  <w:num w:numId="16">
    <w:abstractNumId w:val="44"/>
  </w:num>
  <w:num w:numId="17">
    <w:abstractNumId w:val="14"/>
  </w:num>
  <w:num w:numId="18">
    <w:abstractNumId w:val="6"/>
  </w:num>
  <w:num w:numId="19">
    <w:abstractNumId w:val="55"/>
  </w:num>
  <w:num w:numId="20">
    <w:abstractNumId w:val="16"/>
  </w:num>
  <w:num w:numId="21">
    <w:abstractNumId w:val="34"/>
  </w:num>
  <w:num w:numId="22">
    <w:abstractNumId w:val="48"/>
  </w:num>
  <w:num w:numId="23">
    <w:abstractNumId w:val="10"/>
  </w:num>
  <w:num w:numId="24">
    <w:abstractNumId w:val="22"/>
  </w:num>
  <w:num w:numId="25">
    <w:abstractNumId w:val="57"/>
  </w:num>
  <w:num w:numId="26">
    <w:abstractNumId w:val="23"/>
  </w:num>
  <w:num w:numId="27">
    <w:abstractNumId w:val="13"/>
  </w:num>
  <w:num w:numId="28">
    <w:abstractNumId w:val="56"/>
  </w:num>
  <w:num w:numId="29">
    <w:abstractNumId w:val="52"/>
  </w:num>
  <w:num w:numId="30">
    <w:abstractNumId w:val="0"/>
  </w:num>
  <w:num w:numId="31">
    <w:abstractNumId w:val="1"/>
  </w:num>
  <w:num w:numId="32">
    <w:abstractNumId w:val="49"/>
  </w:num>
  <w:num w:numId="33">
    <w:abstractNumId w:val="4"/>
  </w:num>
  <w:num w:numId="34">
    <w:abstractNumId w:val="50"/>
  </w:num>
  <w:num w:numId="35">
    <w:abstractNumId w:val="46"/>
  </w:num>
  <w:num w:numId="36">
    <w:abstractNumId w:val="2"/>
  </w:num>
  <w:num w:numId="37">
    <w:abstractNumId w:val="32"/>
  </w:num>
  <w:num w:numId="38">
    <w:abstractNumId w:val="53"/>
  </w:num>
  <w:num w:numId="39">
    <w:abstractNumId w:val="54"/>
  </w:num>
  <w:num w:numId="40">
    <w:abstractNumId w:val="28"/>
  </w:num>
  <w:num w:numId="41">
    <w:abstractNumId w:val="21"/>
  </w:num>
  <w:num w:numId="42">
    <w:abstractNumId w:val="26"/>
  </w:num>
  <w:num w:numId="43">
    <w:abstractNumId w:val="8"/>
  </w:num>
  <w:num w:numId="44">
    <w:abstractNumId w:val="18"/>
  </w:num>
  <w:num w:numId="45">
    <w:abstractNumId w:val="63"/>
  </w:num>
  <w:num w:numId="46">
    <w:abstractNumId w:val="65"/>
  </w:num>
  <w:num w:numId="47">
    <w:abstractNumId w:val="7"/>
  </w:num>
  <w:num w:numId="48">
    <w:abstractNumId w:val="68"/>
  </w:num>
  <w:num w:numId="49">
    <w:abstractNumId w:val="59"/>
  </w:num>
  <w:num w:numId="50">
    <w:abstractNumId w:val="9"/>
  </w:num>
  <w:num w:numId="51">
    <w:abstractNumId w:val="25"/>
  </w:num>
  <w:num w:numId="52">
    <w:abstractNumId w:val="74"/>
  </w:num>
  <w:num w:numId="53">
    <w:abstractNumId w:val="20"/>
  </w:num>
  <w:num w:numId="54">
    <w:abstractNumId w:val="77"/>
  </w:num>
  <w:num w:numId="55">
    <w:abstractNumId w:val="72"/>
  </w:num>
  <w:num w:numId="56">
    <w:abstractNumId w:val="24"/>
  </w:num>
  <w:num w:numId="57">
    <w:abstractNumId w:val="73"/>
  </w:num>
  <w:num w:numId="58">
    <w:abstractNumId w:val="69"/>
  </w:num>
  <w:num w:numId="59">
    <w:abstractNumId w:val="62"/>
  </w:num>
  <w:num w:numId="60">
    <w:abstractNumId w:val="19"/>
  </w:num>
  <w:num w:numId="61">
    <w:abstractNumId w:val="41"/>
  </w:num>
  <w:num w:numId="62">
    <w:abstractNumId w:val="40"/>
  </w:num>
  <w:num w:numId="63">
    <w:abstractNumId w:val="60"/>
  </w:num>
  <w:num w:numId="64">
    <w:abstractNumId w:val="3"/>
  </w:num>
  <w:num w:numId="65">
    <w:abstractNumId w:val="38"/>
  </w:num>
  <w:num w:numId="66">
    <w:abstractNumId w:val="83"/>
  </w:num>
  <w:num w:numId="67">
    <w:abstractNumId w:val="64"/>
  </w:num>
  <w:num w:numId="68">
    <w:abstractNumId w:val="35"/>
  </w:num>
  <w:num w:numId="69">
    <w:abstractNumId w:val="37"/>
  </w:num>
  <w:num w:numId="70">
    <w:abstractNumId w:val="75"/>
  </w:num>
  <w:num w:numId="71">
    <w:abstractNumId w:val="33"/>
  </w:num>
  <w:num w:numId="72">
    <w:abstractNumId w:val="51"/>
  </w:num>
  <w:num w:numId="73">
    <w:abstractNumId w:val="27"/>
  </w:num>
  <w:num w:numId="74">
    <w:abstractNumId w:val="84"/>
  </w:num>
  <w:num w:numId="75">
    <w:abstractNumId w:val="30"/>
  </w:num>
  <w:num w:numId="76">
    <w:abstractNumId w:val="12"/>
  </w:num>
  <w:num w:numId="77">
    <w:abstractNumId w:val="39"/>
  </w:num>
  <w:num w:numId="78">
    <w:abstractNumId w:val="15"/>
  </w:num>
  <w:num w:numId="79">
    <w:abstractNumId w:val="70"/>
  </w:num>
  <w:num w:numId="80">
    <w:abstractNumId w:val="66"/>
  </w:num>
  <w:num w:numId="81">
    <w:abstractNumId w:val="36"/>
  </w:num>
  <w:num w:numId="82">
    <w:abstractNumId w:val="71"/>
  </w:num>
  <w:num w:numId="83">
    <w:abstractNumId w:val="42"/>
  </w:num>
  <w:num w:numId="84">
    <w:abstractNumId w:val="45"/>
  </w:num>
  <w:num w:numId="85">
    <w:abstractNumId w:val="5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E2E"/>
    <w:rsid w:val="00002598"/>
    <w:rsid w:val="00023C36"/>
    <w:rsid w:val="00050942"/>
    <w:rsid w:val="00055FAA"/>
    <w:rsid w:val="00061CF7"/>
    <w:rsid w:val="00067FA6"/>
    <w:rsid w:val="000C1916"/>
    <w:rsid w:val="000D15F2"/>
    <w:rsid w:val="000D1E61"/>
    <w:rsid w:val="000D3935"/>
    <w:rsid w:val="000D57CA"/>
    <w:rsid w:val="000D60A8"/>
    <w:rsid w:val="000F49B3"/>
    <w:rsid w:val="000F5647"/>
    <w:rsid w:val="000F74EB"/>
    <w:rsid w:val="0012351A"/>
    <w:rsid w:val="001272E5"/>
    <w:rsid w:val="00163A66"/>
    <w:rsid w:val="00191015"/>
    <w:rsid w:val="001A7F3B"/>
    <w:rsid w:val="001B2751"/>
    <w:rsid w:val="001C3013"/>
    <w:rsid w:val="001C326F"/>
    <w:rsid w:val="001E2E53"/>
    <w:rsid w:val="001F009F"/>
    <w:rsid w:val="001F03FE"/>
    <w:rsid w:val="001F3634"/>
    <w:rsid w:val="00206351"/>
    <w:rsid w:val="00210673"/>
    <w:rsid w:val="002120A9"/>
    <w:rsid w:val="00214C5A"/>
    <w:rsid w:val="00215698"/>
    <w:rsid w:val="0021779C"/>
    <w:rsid w:val="002207FC"/>
    <w:rsid w:val="00222FF6"/>
    <w:rsid w:val="0022661E"/>
    <w:rsid w:val="00231F49"/>
    <w:rsid w:val="002564E7"/>
    <w:rsid w:val="00276776"/>
    <w:rsid w:val="0027696B"/>
    <w:rsid w:val="00282B55"/>
    <w:rsid w:val="00282C1E"/>
    <w:rsid w:val="002875B3"/>
    <w:rsid w:val="00292BFC"/>
    <w:rsid w:val="002A6F17"/>
    <w:rsid w:val="002A7845"/>
    <w:rsid w:val="002B3DCE"/>
    <w:rsid w:val="002D6952"/>
    <w:rsid w:val="002E1900"/>
    <w:rsid w:val="002F7FAD"/>
    <w:rsid w:val="00305021"/>
    <w:rsid w:val="00313046"/>
    <w:rsid w:val="00317F10"/>
    <w:rsid w:val="003207EB"/>
    <w:rsid w:val="003633D9"/>
    <w:rsid w:val="00364963"/>
    <w:rsid w:val="00391569"/>
    <w:rsid w:val="003A3063"/>
    <w:rsid w:val="003B3015"/>
    <w:rsid w:val="003E776E"/>
    <w:rsid w:val="003F6F41"/>
    <w:rsid w:val="00404677"/>
    <w:rsid w:val="004047BC"/>
    <w:rsid w:val="00405436"/>
    <w:rsid w:val="00413729"/>
    <w:rsid w:val="0042340F"/>
    <w:rsid w:val="0045208B"/>
    <w:rsid w:val="004567A6"/>
    <w:rsid w:val="00465D34"/>
    <w:rsid w:val="004672D3"/>
    <w:rsid w:val="004731BE"/>
    <w:rsid w:val="00476AE6"/>
    <w:rsid w:val="004830F3"/>
    <w:rsid w:val="0049316F"/>
    <w:rsid w:val="00495C7D"/>
    <w:rsid w:val="00496531"/>
    <w:rsid w:val="004A5CC4"/>
    <w:rsid w:val="004B7471"/>
    <w:rsid w:val="004C0E31"/>
    <w:rsid w:val="004D13DF"/>
    <w:rsid w:val="004D74BC"/>
    <w:rsid w:val="004E2E2E"/>
    <w:rsid w:val="00511189"/>
    <w:rsid w:val="00526CA9"/>
    <w:rsid w:val="00537E6A"/>
    <w:rsid w:val="00540BCC"/>
    <w:rsid w:val="00546C0B"/>
    <w:rsid w:val="005470DA"/>
    <w:rsid w:val="005557E2"/>
    <w:rsid w:val="00562FCA"/>
    <w:rsid w:val="005712C9"/>
    <w:rsid w:val="00586DDD"/>
    <w:rsid w:val="00591F0B"/>
    <w:rsid w:val="00592D70"/>
    <w:rsid w:val="00596A60"/>
    <w:rsid w:val="005A3AE8"/>
    <w:rsid w:val="005A6736"/>
    <w:rsid w:val="005B4B25"/>
    <w:rsid w:val="005B5BE6"/>
    <w:rsid w:val="005C25A1"/>
    <w:rsid w:val="005D4D1C"/>
    <w:rsid w:val="005D5AD2"/>
    <w:rsid w:val="005D755E"/>
    <w:rsid w:val="005E18CD"/>
    <w:rsid w:val="005F289A"/>
    <w:rsid w:val="006052EB"/>
    <w:rsid w:val="006548CF"/>
    <w:rsid w:val="00664689"/>
    <w:rsid w:val="00697CE9"/>
    <w:rsid w:val="006F5A37"/>
    <w:rsid w:val="00716AA9"/>
    <w:rsid w:val="007231D3"/>
    <w:rsid w:val="0072359B"/>
    <w:rsid w:val="00731026"/>
    <w:rsid w:val="00760C40"/>
    <w:rsid w:val="007B6790"/>
    <w:rsid w:val="007C1F1F"/>
    <w:rsid w:val="007E3950"/>
    <w:rsid w:val="007E695A"/>
    <w:rsid w:val="007E732C"/>
    <w:rsid w:val="00827BD3"/>
    <w:rsid w:val="00834450"/>
    <w:rsid w:val="00855ADA"/>
    <w:rsid w:val="0086353F"/>
    <w:rsid w:val="00864FB4"/>
    <w:rsid w:val="00875838"/>
    <w:rsid w:val="008C3CF1"/>
    <w:rsid w:val="008F070B"/>
    <w:rsid w:val="0091448D"/>
    <w:rsid w:val="00922F57"/>
    <w:rsid w:val="00926A6E"/>
    <w:rsid w:val="00931B3B"/>
    <w:rsid w:val="009348EB"/>
    <w:rsid w:val="00951F49"/>
    <w:rsid w:val="00955EE5"/>
    <w:rsid w:val="009575FE"/>
    <w:rsid w:val="00962914"/>
    <w:rsid w:val="00996962"/>
    <w:rsid w:val="009B0062"/>
    <w:rsid w:val="009C546D"/>
    <w:rsid w:val="009D0FA5"/>
    <w:rsid w:val="00A024EC"/>
    <w:rsid w:val="00A17859"/>
    <w:rsid w:val="00A27937"/>
    <w:rsid w:val="00A35739"/>
    <w:rsid w:val="00A4308A"/>
    <w:rsid w:val="00A50FE5"/>
    <w:rsid w:val="00A56E41"/>
    <w:rsid w:val="00A64307"/>
    <w:rsid w:val="00A710CC"/>
    <w:rsid w:val="00A8089A"/>
    <w:rsid w:val="00AA1DF5"/>
    <w:rsid w:val="00AB73D3"/>
    <w:rsid w:val="00AC2145"/>
    <w:rsid w:val="00AC64DF"/>
    <w:rsid w:val="00B061D5"/>
    <w:rsid w:val="00B1167B"/>
    <w:rsid w:val="00B13361"/>
    <w:rsid w:val="00B13AE0"/>
    <w:rsid w:val="00B220BC"/>
    <w:rsid w:val="00B26D7D"/>
    <w:rsid w:val="00B3373C"/>
    <w:rsid w:val="00B41811"/>
    <w:rsid w:val="00B466DF"/>
    <w:rsid w:val="00B54C20"/>
    <w:rsid w:val="00B561D7"/>
    <w:rsid w:val="00B743E6"/>
    <w:rsid w:val="00B76508"/>
    <w:rsid w:val="00B81057"/>
    <w:rsid w:val="00B91BD9"/>
    <w:rsid w:val="00BA14FF"/>
    <w:rsid w:val="00BA1B8A"/>
    <w:rsid w:val="00BA5BF4"/>
    <w:rsid w:val="00BC4EB5"/>
    <w:rsid w:val="00BD164F"/>
    <w:rsid w:val="00BD719D"/>
    <w:rsid w:val="00BE20F5"/>
    <w:rsid w:val="00BE7CBB"/>
    <w:rsid w:val="00C14F99"/>
    <w:rsid w:val="00C20EF0"/>
    <w:rsid w:val="00C30D76"/>
    <w:rsid w:val="00C357F4"/>
    <w:rsid w:val="00C4408C"/>
    <w:rsid w:val="00C446A1"/>
    <w:rsid w:val="00C46259"/>
    <w:rsid w:val="00C6620A"/>
    <w:rsid w:val="00C6627C"/>
    <w:rsid w:val="00C76A57"/>
    <w:rsid w:val="00C81A1F"/>
    <w:rsid w:val="00C852E0"/>
    <w:rsid w:val="00C978BC"/>
    <w:rsid w:val="00CA1EA9"/>
    <w:rsid w:val="00CA65EF"/>
    <w:rsid w:val="00CC39C4"/>
    <w:rsid w:val="00CE1D36"/>
    <w:rsid w:val="00CE2835"/>
    <w:rsid w:val="00CF596C"/>
    <w:rsid w:val="00D02C15"/>
    <w:rsid w:val="00D21144"/>
    <w:rsid w:val="00D277D1"/>
    <w:rsid w:val="00D321DD"/>
    <w:rsid w:val="00D6323F"/>
    <w:rsid w:val="00D74C66"/>
    <w:rsid w:val="00D7576E"/>
    <w:rsid w:val="00D941ED"/>
    <w:rsid w:val="00DC62AD"/>
    <w:rsid w:val="00DD26C4"/>
    <w:rsid w:val="00DD4310"/>
    <w:rsid w:val="00DD56B1"/>
    <w:rsid w:val="00DE147D"/>
    <w:rsid w:val="00E27355"/>
    <w:rsid w:val="00E41292"/>
    <w:rsid w:val="00E665BF"/>
    <w:rsid w:val="00E8184C"/>
    <w:rsid w:val="00E8216D"/>
    <w:rsid w:val="00E83725"/>
    <w:rsid w:val="00EA71C5"/>
    <w:rsid w:val="00EB05EE"/>
    <w:rsid w:val="00ED4181"/>
    <w:rsid w:val="00EE45ED"/>
    <w:rsid w:val="00F029B9"/>
    <w:rsid w:val="00F0572D"/>
    <w:rsid w:val="00F11639"/>
    <w:rsid w:val="00F307E0"/>
    <w:rsid w:val="00F32EE5"/>
    <w:rsid w:val="00F55B1E"/>
    <w:rsid w:val="00F61E87"/>
    <w:rsid w:val="00FB0602"/>
    <w:rsid w:val="00FC7863"/>
    <w:rsid w:val="00FD2F7D"/>
    <w:rsid w:val="00FD41FC"/>
    <w:rsid w:val="00FD6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5384AE28"/>
  <w15:docId w15:val="{0C1B26F7-29E8-4258-A1A1-86A7DAA9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937"/>
    <w:rPr>
      <w:rFonts w:ascii="Tahoma" w:hAnsi="Tahoma" w:cs="Tahoma"/>
      <w:sz w:val="16"/>
      <w:szCs w:val="16"/>
    </w:rPr>
  </w:style>
  <w:style w:type="paragraph" w:customStyle="1" w:styleId="DefaultText">
    <w:name w:val="Default Text"/>
    <w:basedOn w:val="Normal"/>
    <w:rsid w:val="00A27937"/>
    <w:pPr>
      <w:spacing w:after="0" w:line="240" w:lineRule="auto"/>
    </w:pPr>
    <w:rPr>
      <w:rFonts w:ascii="Times New Roman" w:eastAsia="Times New Roman" w:hAnsi="Times New Roman" w:cs="Times New Roman"/>
      <w:sz w:val="24"/>
      <w:szCs w:val="20"/>
    </w:rPr>
  </w:style>
  <w:style w:type="paragraph" w:customStyle="1" w:styleId="B1Text">
    <w:name w:val="B1Text"/>
    <w:link w:val="B1TextChar"/>
    <w:qFormat/>
    <w:rsid w:val="00A27937"/>
    <w:pPr>
      <w:widowControl w:val="0"/>
      <w:tabs>
        <w:tab w:val="left" w:pos="0"/>
      </w:tabs>
      <w:spacing w:after="0" w:line="240" w:lineRule="auto"/>
    </w:pPr>
    <w:rPr>
      <w:rFonts w:ascii="Times" w:eastAsia="Times New Roman" w:hAnsi="Times" w:cs="Times New Roman"/>
      <w:snapToGrid w:val="0"/>
      <w:sz w:val="20"/>
      <w:szCs w:val="20"/>
    </w:rPr>
  </w:style>
  <w:style w:type="character" w:customStyle="1" w:styleId="B1TextChar">
    <w:name w:val="B1Text Char"/>
    <w:basedOn w:val="DefaultParagraphFont"/>
    <w:link w:val="B1Text"/>
    <w:rsid w:val="00A27937"/>
    <w:rPr>
      <w:rFonts w:ascii="Times" w:eastAsia="Times New Roman" w:hAnsi="Times" w:cs="Times New Roman"/>
      <w:snapToGrid w:val="0"/>
      <w:sz w:val="20"/>
      <w:szCs w:val="20"/>
    </w:rPr>
  </w:style>
  <w:style w:type="paragraph" w:customStyle="1" w:styleId="B2NotesNumbering">
    <w:name w:val="B2NotesNumbering"/>
    <w:link w:val="B2NotesNumberingChar"/>
    <w:qFormat/>
    <w:rsid w:val="00A27937"/>
    <w:pPr>
      <w:numPr>
        <w:numId w:val="81"/>
      </w:numPr>
      <w:tabs>
        <w:tab w:val="left" w:pos="1080"/>
      </w:tabs>
      <w:spacing w:after="0" w:line="240" w:lineRule="auto"/>
      <w:ind w:left="360"/>
    </w:pPr>
    <w:rPr>
      <w:rFonts w:ascii="Times" w:eastAsia="Times New Roman" w:hAnsi="Times" w:cs="Times New Roman"/>
      <w:b/>
      <w:snapToGrid w:val="0"/>
      <w:sz w:val="24"/>
      <w:szCs w:val="24"/>
    </w:rPr>
  </w:style>
  <w:style w:type="character" w:customStyle="1" w:styleId="B2NotesNumberingChar">
    <w:name w:val="B2NotesNumbering Char"/>
    <w:link w:val="B2NotesNumbering"/>
    <w:rsid w:val="00A27937"/>
    <w:rPr>
      <w:rFonts w:ascii="Times" w:eastAsia="Times New Roman" w:hAnsi="Times" w:cs="Times New Roman"/>
      <w:b/>
      <w:snapToGrid w:val="0"/>
      <w:sz w:val="24"/>
      <w:szCs w:val="24"/>
    </w:rPr>
  </w:style>
  <w:style w:type="paragraph" w:customStyle="1" w:styleId="B3NotesSubHeading">
    <w:name w:val="B3NotesSubHeading"/>
    <w:basedOn w:val="Normal"/>
    <w:link w:val="B3NotesSubHeadingChar"/>
    <w:qFormat/>
    <w:rsid w:val="00A27937"/>
    <w:pPr>
      <w:widowControl w:val="0"/>
      <w:tabs>
        <w:tab w:val="left" w:pos="0"/>
      </w:tabs>
      <w:spacing w:after="0" w:line="240" w:lineRule="auto"/>
    </w:pPr>
    <w:rPr>
      <w:rFonts w:ascii="Times New Roman" w:eastAsia="Times New Roman" w:hAnsi="Times New Roman" w:cs="Times New Roman"/>
      <w:b/>
      <w:snapToGrid w:val="0"/>
      <w:szCs w:val="20"/>
    </w:rPr>
  </w:style>
  <w:style w:type="character" w:customStyle="1" w:styleId="B3NotesSubHeadingChar">
    <w:name w:val="B3NotesSubHeading Char"/>
    <w:basedOn w:val="DefaultParagraphFont"/>
    <w:link w:val="B3NotesSubHeading"/>
    <w:rsid w:val="00A27937"/>
    <w:rPr>
      <w:rFonts w:ascii="Times New Roman" w:eastAsia="Times New Roman" w:hAnsi="Times New Roman" w:cs="Times New Roman"/>
      <w:b/>
      <w:snapToGrid w:val="0"/>
      <w:szCs w:val="20"/>
    </w:rPr>
  </w:style>
  <w:style w:type="paragraph" w:styleId="BodyText">
    <w:name w:val="Body Text"/>
    <w:basedOn w:val="Normal"/>
    <w:link w:val="BodyTextChar"/>
    <w:uiPriority w:val="99"/>
    <w:semiHidden/>
    <w:unhideWhenUsed/>
    <w:rsid w:val="00A27937"/>
    <w:pPr>
      <w:spacing w:after="120"/>
    </w:pPr>
  </w:style>
  <w:style w:type="character" w:customStyle="1" w:styleId="BodyTextChar">
    <w:name w:val="Body Text Char"/>
    <w:basedOn w:val="DefaultParagraphFont"/>
    <w:link w:val="BodyText"/>
    <w:uiPriority w:val="99"/>
    <w:semiHidden/>
    <w:rsid w:val="00A27937"/>
  </w:style>
  <w:style w:type="character" w:styleId="CommentReference">
    <w:name w:val="annotation reference"/>
    <w:basedOn w:val="DefaultParagraphFont"/>
    <w:uiPriority w:val="99"/>
    <w:semiHidden/>
    <w:unhideWhenUsed/>
    <w:rsid w:val="005A3AE8"/>
    <w:rPr>
      <w:sz w:val="16"/>
      <w:szCs w:val="16"/>
    </w:rPr>
  </w:style>
  <w:style w:type="paragraph" w:styleId="CommentText">
    <w:name w:val="annotation text"/>
    <w:basedOn w:val="Normal"/>
    <w:link w:val="CommentTextChar"/>
    <w:uiPriority w:val="99"/>
    <w:semiHidden/>
    <w:unhideWhenUsed/>
    <w:rsid w:val="005A3AE8"/>
    <w:pPr>
      <w:spacing w:line="240" w:lineRule="auto"/>
    </w:pPr>
    <w:rPr>
      <w:sz w:val="20"/>
      <w:szCs w:val="20"/>
    </w:rPr>
  </w:style>
  <w:style w:type="character" w:customStyle="1" w:styleId="CommentTextChar">
    <w:name w:val="Comment Text Char"/>
    <w:basedOn w:val="DefaultParagraphFont"/>
    <w:link w:val="CommentText"/>
    <w:uiPriority w:val="99"/>
    <w:semiHidden/>
    <w:rsid w:val="005A3AE8"/>
    <w:rPr>
      <w:sz w:val="20"/>
      <w:szCs w:val="20"/>
    </w:rPr>
  </w:style>
  <w:style w:type="paragraph" w:styleId="CommentSubject">
    <w:name w:val="annotation subject"/>
    <w:basedOn w:val="CommentText"/>
    <w:next w:val="CommentText"/>
    <w:link w:val="CommentSubjectChar"/>
    <w:uiPriority w:val="99"/>
    <w:semiHidden/>
    <w:unhideWhenUsed/>
    <w:rsid w:val="005A3AE8"/>
    <w:rPr>
      <w:b/>
      <w:bCs/>
    </w:rPr>
  </w:style>
  <w:style w:type="character" w:customStyle="1" w:styleId="CommentSubjectChar">
    <w:name w:val="Comment Subject Char"/>
    <w:basedOn w:val="CommentTextChar"/>
    <w:link w:val="CommentSubject"/>
    <w:uiPriority w:val="99"/>
    <w:semiHidden/>
    <w:rsid w:val="005A3AE8"/>
    <w:rPr>
      <w:b/>
      <w:bCs/>
      <w:sz w:val="20"/>
      <w:szCs w:val="20"/>
    </w:rPr>
  </w:style>
  <w:style w:type="table" w:styleId="TableGrid">
    <w:name w:val="Table Grid"/>
    <w:basedOn w:val="TableNormal"/>
    <w:uiPriority w:val="59"/>
    <w:rsid w:val="000F4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5ADA"/>
    <w:pPr>
      <w:ind w:left="720"/>
      <w:contextualSpacing/>
    </w:pPr>
  </w:style>
  <w:style w:type="paragraph" w:styleId="NoSpacing">
    <w:name w:val="No Spacing"/>
    <w:uiPriority w:val="1"/>
    <w:qFormat/>
    <w:rsid w:val="00B220BC"/>
    <w:pPr>
      <w:spacing w:after="0" w:line="240" w:lineRule="auto"/>
    </w:pPr>
  </w:style>
  <w:style w:type="paragraph" w:customStyle="1" w:styleId="Default">
    <w:name w:val="Default"/>
    <w:rsid w:val="00EB05E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82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16D"/>
  </w:style>
  <w:style w:type="paragraph" w:styleId="Footer">
    <w:name w:val="footer"/>
    <w:basedOn w:val="Normal"/>
    <w:link w:val="FooterChar"/>
    <w:uiPriority w:val="99"/>
    <w:unhideWhenUsed/>
    <w:rsid w:val="00E82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D1A3D-4974-4381-A8F0-5DDE92D35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2200</Words>
  <Characters>12546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North Dakota Retirement and Investment Office</Company>
  <LinksUpToDate>false</LinksUpToDate>
  <CharactersWithSpaces>14717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13.12.2.1.V2</dc:creator>
  <cp:lastModifiedBy>Hohbein, Derrick L.</cp:lastModifiedBy>
  <cp:revision>3</cp:revision>
  <cp:lastPrinted>2015-03-07T17:05:00Z</cp:lastPrinted>
  <dcterms:created xsi:type="dcterms:W3CDTF">2021-12-20T20:39:00Z</dcterms:created>
  <dcterms:modified xsi:type="dcterms:W3CDTF">2021-12-20T20:46:00Z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822953200</vt:i4>
  </property>
  <property fmtid="{D5CDD505-2E9C-101B-9397-08002B2CF9AE}" pid="3" name="_NewReviewCycle">
    <vt:lpwstr/>
  </property>
  <property fmtid="{D5CDD505-2E9C-101B-9397-08002B2CF9AE}" pid="4" name="_EmailSubject">
    <vt:lpwstr>New Documents for the Website :)</vt:lpwstr>
  </property>
  <property fmtid="{D5CDD505-2E9C-101B-9397-08002B2CF9AE}" pid="5" name="_AuthorEmail">
    <vt:lpwstr>dhohbein@nd.gov</vt:lpwstr>
  </property>
  <property fmtid="{D5CDD505-2E9C-101B-9397-08002B2CF9AE}" pid="6" name="_AuthorEmailDisplayName">
    <vt:lpwstr>Hohbein, Derrick L.</vt:lpwstr>
  </property>
  <property fmtid="{D5CDD505-2E9C-101B-9397-08002B2CF9AE}" pid="7" name="_ReviewingToolsShownOnce">
    <vt:lpwstr/>
  </property>
</Properties>
</file>