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37B75"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w:t>
      </w:r>
      <w:proofErr w:type="gramStart"/>
      <w:r w:rsidRPr="00B220BC">
        <w:rPr>
          <w:rFonts w:ascii="Arial" w:hAnsi="Arial" w:cs="Arial"/>
          <w:sz w:val="16"/>
          <w:szCs w:val="16"/>
        </w:rPr>
        <w:t>situation, and</w:t>
      </w:r>
      <w:proofErr w:type="gramEnd"/>
      <w:r w:rsidRPr="00B220BC">
        <w:rPr>
          <w:rFonts w:ascii="Arial" w:hAnsi="Arial" w:cs="Arial"/>
          <w:sz w:val="16"/>
          <w:szCs w:val="16"/>
        </w:rPr>
        <w:t xml:space="preserve">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2664009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65764B9C"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063F7B76" w14:textId="77777777" w:rsidR="00BA14FF" w:rsidRPr="00B220BC" w:rsidRDefault="00BA14FF" w:rsidP="00B220BC">
      <w:pPr>
        <w:pStyle w:val="NoSpacing"/>
        <w:jc w:val="center"/>
      </w:pPr>
    </w:p>
    <w:p w14:paraId="4C7024E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05446CE4"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D12186F" w14:textId="7B1E2501"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w:t>
      </w:r>
      <w:r w:rsidR="00487B5E">
        <w:rPr>
          <w:rFonts w:ascii="Arial" w:hAnsi="Arial" w:cs="Arial"/>
          <w:b/>
        </w:rPr>
        <w:t>1</w:t>
      </w:r>
    </w:p>
    <w:p w14:paraId="2A40173E"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77C872D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5FEADA0E"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4FBC223A"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7F79EE6C"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03BC9FE5"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764ED50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94E65C6" w14:textId="77777777"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14:paraId="5FA331AC" w14:textId="77777777" w:rsidR="00A27937" w:rsidRPr="00FC7863" w:rsidRDefault="00A27937" w:rsidP="00FC7863">
      <w:pPr>
        <w:pStyle w:val="B1Text"/>
        <w:rPr>
          <w:rFonts w:ascii="Arial" w:hAnsi="Arial" w:cs="Arial"/>
          <w:i/>
          <w:sz w:val="22"/>
          <w:szCs w:val="22"/>
        </w:rPr>
      </w:pPr>
    </w:p>
    <w:p w14:paraId="12B57E09"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57B0DDFC" w14:textId="77777777" w:rsidR="00A4308A" w:rsidRPr="00FC7863" w:rsidRDefault="00A4308A" w:rsidP="00FC7863">
      <w:pPr>
        <w:pStyle w:val="B3NotesSubHeading"/>
        <w:jc w:val="both"/>
        <w:rPr>
          <w:rFonts w:ascii="Arial" w:hAnsi="Arial" w:cs="Arial"/>
          <w:b w:val="0"/>
          <w:szCs w:val="22"/>
        </w:rPr>
      </w:pPr>
    </w:p>
    <w:p w14:paraId="3740E7A9" w14:textId="77777777"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w:t>
      </w:r>
      <w:proofErr w:type="gramStart"/>
      <w:r w:rsidR="00A4308A" w:rsidRPr="00FC7863">
        <w:rPr>
          <w:rFonts w:ascii="Arial" w:hAnsi="Arial" w:cs="Arial"/>
          <w:b w:val="0"/>
          <w:szCs w:val="22"/>
        </w:rPr>
        <w:t>death</w:t>
      </w:r>
      <w:proofErr w:type="gramEnd"/>
      <w:r w:rsidR="00A4308A" w:rsidRPr="00FC7863">
        <w:rPr>
          <w:rFonts w:ascii="Arial" w:hAnsi="Arial" w:cs="Arial"/>
          <w:b w:val="0"/>
          <w:szCs w:val="22"/>
        </w:rPr>
        <w:t xml:space="preserve">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50041370" w14:textId="77777777" w:rsidR="00A4308A" w:rsidRPr="00FC7863" w:rsidRDefault="00A4308A" w:rsidP="00FC7863">
      <w:pPr>
        <w:pStyle w:val="B3NotesSubHeading"/>
        <w:jc w:val="both"/>
        <w:rPr>
          <w:rFonts w:ascii="Arial" w:hAnsi="Arial" w:cs="Arial"/>
          <w:b w:val="0"/>
          <w:szCs w:val="22"/>
        </w:rPr>
      </w:pPr>
    </w:p>
    <w:p w14:paraId="476A8FBF" w14:textId="77777777"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14:paraId="5E1966FB" w14:textId="77777777" w:rsidR="00BA5BF4" w:rsidRDefault="00BA5BF4" w:rsidP="00596A60">
      <w:pPr>
        <w:pStyle w:val="B3NotesSubHeading"/>
        <w:jc w:val="both"/>
        <w:rPr>
          <w:rFonts w:ascii="Arial" w:hAnsi="Arial" w:cs="Arial"/>
          <w:i/>
          <w:szCs w:val="22"/>
        </w:rPr>
      </w:pPr>
    </w:p>
    <w:p w14:paraId="0F9087CC" w14:textId="77777777" w:rsidR="00AC5EEE" w:rsidRDefault="00AC5EEE" w:rsidP="00596A60">
      <w:pPr>
        <w:pStyle w:val="B3NotesSubHeading"/>
        <w:jc w:val="both"/>
        <w:rPr>
          <w:rFonts w:ascii="Arial" w:hAnsi="Arial" w:cs="Arial"/>
          <w:i/>
          <w:szCs w:val="22"/>
        </w:rPr>
      </w:pPr>
    </w:p>
    <w:p w14:paraId="36B66411" w14:textId="77777777" w:rsidR="00AC5EEE" w:rsidRDefault="00AC5EEE" w:rsidP="00596A60">
      <w:pPr>
        <w:pStyle w:val="B3NotesSubHeading"/>
        <w:jc w:val="both"/>
        <w:rPr>
          <w:rFonts w:ascii="Arial" w:hAnsi="Arial" w:cs="Arial"/>
          <w:i/>
          <w:szCs w:val="22"/>
        </w:rPr>
      </w:pPr>
    </w:p>
    <w:p w14:paraId="0E29BA8B"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71E61C38" w14:textId="77777777" w:rsidR="00A27937" w:rsidRPr="00FC7863" w:rsidRDefault="00A27937" w:rsidP="00FC7863">
      <w:pPr>
        <w:pStyle w:val="B1Text"/>
        <w:rPr>
          <w:rFonts w:ascii="Arial" w:hAnsi="Arial" w:cs="Arial"/>
          <w:i/>
          <w:sz w:val="22"/>
          <w:szCs w:val="22"/>
        </w:rPr>
      </w:pPr>
    </w:p>
    <w:p w14:paraId="23D57340" w14:textId="4E7EA175"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D106A0">
        <w:rPr>
          <w:rFonts w:ascii="Arial" w:eastAsia="Times New Roman" w:hAnsi="Arial" w:cs="Arial"/>
          <w:snapToGrid w:val="0"/>
        </w:rPr>
        <w:t>For members first enrolled in the plan after December 31, 2019 the multipl</w:t>
      </w:r>
      <w:r w:rsidR="00487B5E">
        <w:rPr>
          <w:rFonts w:ascii="Arial" w:eastAsia="Times New Roman" w:hAnsi="Arial" w:cs="Arial"/>
          <w:snapToGrid w:val="0"/>
        </w:rPr>
        <w:t>i</w:t>
      </w:r>
      <w:r w:rsidR="00D106A0">
        <w:rPr>
          <w:rFonts w:ascii="Arial" w:eastAsia="Times New Roman" w:hAnsi="Arial" w:cs="Arial"/>
          <w:snapToGrid w:val="0"/>
        </w:rPr>
        <w:t xml:space="preserve">er was reduced from 2.0% to 1.75%.  </w:t>
      </w:r>
      <w:r w:rsidR="00B13AE0">
        <w:rPr>
          <w:rFonts w:ascii="Arial" w:eastAsia="Times New Roman" w:hAnsi="Arial" w:cs="Arial"/>
          <w:snapToGrid w:val="0"/>
        </w:rPr>
        <w:t xml:space="preserve">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14:paraId="4EB32F19"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22AB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0C1BEF0E"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26AEB3B8"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17316633"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5D2A6986"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3F1F1FF5"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2819D186"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0187BB27"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Eligible members who become totally disabled after a minimum of 180 days of service, receive monthly disability benefits equal to 25% of their final average salary with a minimum benefit of $100.  To qualify under this section, the member </w:t>
      </w:r>
      <w:proofErr w:type="gramStart"/>
      <w:r>
        <w:rPr>
          <w:rFonts w:ascii="Arial" w:eastAsia="Times New Roman" w:hAnsi="Arial" w:cs="Arial"/>
          <w:snapToGrid w:val="0"/>
        </w:rPr>
        <w:t>has to</w:t>
      </w:r>
      <w:proofErr w:type="gramEnd"/>
      <w:r>
        <w:rPr>
          <w:rFonts w:ascii="Arial" w:eastAsia="Times New Roman" w:hAnsi="Arial" w:cs="Arial"/>
          <w:snapToGrid w:val="0"/>
        </w:rPr>
        <w:t xml:space="preserve"> become disabled during the period of eligible employment and apply for benefits within one year of termination.  The definition of disabled is set by the NDPERS in the North Dakota Administrative Code.</w:t>
      </w:r>
    </w:p>
    <w:p w14:paraId="4F2386D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20F96889" w14:textId="77777777" w:rsidR="003B3015" w:rsidRDefault="003B3015" w:rsidP="00FC7863">
      <w:pPr>
        <w:pStyle w:val="B3NotesSubHeading"/>
        <w:rPr>
          <w:rFonts w:ascii="Arial" w:hAnsi="Arial" w:cs="Arial"/>
          <w:i/>
          <w:szCs w:val="22"/>
        </w:rPr>
      </w:pPr>
    </w:p>
    <w:p w14:paraId="1B2C2112"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06FD6617" w14:textId="77777777" w:rsidR="00A710CC" w:rsidRDefault="00A710CC" w:rsidP="00FC7863">
      <w:pPr>
        <w:pStyle w:val="B3NotesSubHeading"/>
        <w:rPr>
          <w:rFonts w:ascii="Arial" w:hAnsi="Arial" w:cs="Arial"/>
          <w:i/>
          <w:szCs w:val="22"/>
        </w:rPr>
      </w:pPr>
    </w:p>
    <w:p w14:paraId="42423CD3" w14:textId="77777777"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02243489" w14:textId="77777777" w:rsidR="00D106A0" w:rsidRDefault="00D106A0" w:rsidP="00FC7863">
      <w:pPr>
        <w:pStyle w:val="B3NotesSubHeading"/>
        <w:rPr>
          <w:rFonts w:ascii="Arial" w:hAnsi="Arial" w:cs="Arial"/>
          <w:b w:val="0"/>
          <w:szCs w:val="22"/>
        </w:rPr>
      </w:pPr>
    </w:p>
    <w:p w14:paraId="420022FE" w14:textId="77777777" w:rsidR="00D106A0" w:rsidRPr="00D106A0" w:rsidRDefault="00D106A0" w:rsidP="00FC7863">
      <w:pPr>
        <w:pStyle w:val="B3NotesSubHeading"/>
        <w:rPr>
          <w:rFonts w:ascii="Arial" w:hAnsi="Arial" w:cs="Arial"/>
          <w:b w:val="0"/>
          <w:szCs w:val="22"/>
        </w:rPr>
      </w:pPr>
    </w:p>
    <w:p w14:paraId="1A4B3F19" w14:textId="77777777"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53C05DE0" w14:textId="77777777" w:rsidR="00A27937" w:rsidRPr="00FC7863" w:rsidRDefault="00A27937" w:rsidP="00FC7863">
      <w:pPr>
        <w:pStyle w:val="B1Text"/>
        <w:rPr>
          <w:rFonts w:ascii="Arial" w:hAnsi="Arial" w:cs="Arial"/>
          <w:b/>
          <w:i/>
          <w:sz w:val="22"/>
          <w:szCs w:val="22"/>
        </w:rPr>
      </w:pPr>
    </w:p>
    <w:p w14:paraId="15DE3245"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14:paraId="083B3705" w14:textId="77777777"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14:paraId="4D6A4D9A" w14:textId="77777777" w:rsidTr="00B74EA3">
        <w:tc>
          <w:tcPr>
            <w:tcW w:w="4518" w:type="dxa"/>
          </w:tcPr>
          <w:p w14:paraId="62BA65E6" w14:textId="77777777" w:rsidR="00B74EA3" w:rsidRDefault="00B74EA3" w:rsidP="003B3015">
            <w:pPr>
              <w:pStyle w:val="B1Text"/>
              <w:rPr>
                <w:rFonts w:ascii="Arial" w:hAnsi="Arial" w:cs="Arial"/>
                <w:b/>
                <w:sz w:val="22"/>
                <w:szCs w:val="22"/>
              </w:rPr>
            </w:pPr>
          </w:p>
          <w:p w14:paraId="23E41368" w14:textId="77777777"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14:paraId="7FC93101"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14:paraId="6469E45A"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14:paraId="49527E17" w14:textId="77777777" w:rsidTr="00B74EA3">
        <w:tc>
          <w:tcPr>
            <w:tcW w:w="4518" w:type="dxa"/>
          </w:tcPr>
          <w:p w14:paraId="022FDEEC" w14:textId="77777777"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14:paraId="0187AC46" w14:textId="77777777"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14:paraId="4CE8B72C" w14:textId="77777777" w:rsidR="000479A4" w:rsidRDefault="0092749E" w:rsidP="003B3015">
            <w:pPr>
              <w:pStyle w:val="B1Text"/>
              <w:rPr>
                <w:rFonts w:ascii="Arial" w:hAnsi="Arial" w:cs="Arial"/>
                <w:sz w:val="22"/>
                <w:szCs w:val="22"/>
              </w:rPr>
            </w:pPr>
            <w:r>
              <w:rPr>
                <w:rFonts w:ascii="Arial" w:hAnsi="Arial" w:cs="Arial"/>
                <w:sz w:val="22"/>
                <w:szCs w:val="22"/>
              </w:rPr>
              <w:t xml:space="preserve">     State</w:t>
            </w:r>
          </w:p>
          <w:p w14:paraId="16C7F73C" w14:textId="77777777"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14:paraId="106480E2" w14:textId="77777777" w:rsidR="004A5F34" w:rsidRDefault="004A5F34" w:rsidP="003B3015">
            <w:pPr>
              <w:pStyle w:val="B1Text"/>
              <w:rPr>
                <w:rFonts w:ascii="Arial" w:hAnsi="Arial" w:cs="Arial"/>
                <w:sz w:val="22"/>
                <w:szCs w:val="22"/>
              </w:rPr>
            </w:pPr>
          </w:p>
          <w:p w14:paraId="7AB10789" w14:textId="77777777"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14:paraId="747AFDC4" w14:textId="77777777"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14:paraId="2D6630BB" w14:textId="77777777"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14:paraId="44683865" w14:textId="77777777" w:rsidR="004A5F34" w:rsidRDefault="004A5F34" w:rsidP="003B3015">
            <w:pPr>
              <w:pStyle w:val="B1Text"/>
              <w:rPr>
                <w:rFonts w:ascii="Arial" w:hAnsi="Arial" w:cs="Arial"/>
                <w:sz w:val="22"/>
                <w:szCs w:val="22"/>
              </w:rPr>
            </w:pPr>
          </w:p>
          <w:p w14:paraId="6D4858F3" w14:textId="77777777"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0B894F74" w14:textId="77777777"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2DB9BB48" w14:textId="77777777"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14:paraId="43FDF1AC" w14:textId="77777777" w:rsidTr="00B74EA3">
        <w:tc>
          <w:tcPr>
            <w:tcW w:w="4518" w:type="dxa"/>
          </w:tcPr>
          <w:p w14:paraId="7CBC1663" w14:textId="77777777"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14:paraId="56B3D298" w14:textId="77777777"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14:paraId="4BA2EA29" w14:textId="77777777"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14:paraId="002D37F8" w14:textId="77777777" w:rsidR="005B433E" w:rsidRDefault="005B433E" w:rsidP="003B3015">
      <w:pPr>
        <w:pStyle w:val="B1Text"/>
        <w:rPr>
          <w:rFonts w:ascii="Arial" w:hAnsi="Arial" w:cs="Arial"/>
          <w:sz w:val="22"/>
          <w:szCs w:val="22"/>
        </w:rPr>
      </w:pPr>
    </w:p>
    <w:p w14:paraId="61C8C875" w14:textId="77777777" w:rsidR="00EE5F16" w:rsidRDefault="00EE5F16" w:rsidP="003B3015">
      <w:pPr>
        <w:pStyle w:val="B1Text"/>
        <w:rPr>
          <w:rFonts w:ascii="Arial" w:hAnsi="Arial" w:cs="Arial"/>
          <w:sz w:val="22"/>
          <w:szCs w:val="22"/>
        </w:rPr>
      </w:pPr>
    </w:p>
    <w:p w14:paraId="6EBF2684" w14:textId="77777777" w:rsidR="0066233C" w:rsidRDefault="0066233C" w:rsidP="0066233C">
      <w:pPr>
        <w:pStyle w:val="B1Text"/>
        <w:rPr>
          <w:rFonts w:ascii="Arial" w:hAnsi="Arial" w:cs="Arial"/>
          <w:sz w:val="22"/>
          <w:szCs w:val="22"/>
        </w:rPr>
      </w:pPr>
      <w:r>
        <w:rPr>
          <w:rFonts w:ascii="Arial" w:hAnsi="Arial" w:cs="Arial"/>
          <w:sz w:val="22"/>
          <w:szCs w:val="22"/>
        </w:rPr>
        <w:t xml:space="preserve">The member’s account balance includes the vested employer contributions equal to the member’s contributions to an eligible deferred compensation plan. The minimum member contribution is </w:t>
      </w:r>
      <w:proofErr w:type="gramStart"/>
      <w:r>
        <w:rPr>
          <w:rFonts w:ascii="Arial" w:hAnsi="Arial" w:cs="Arial"/>
          <w:sz w:val="22"/>
          <w:szCs w:val="22"/>
        </w:rPr>
        <w:t>$25</w:t>
      </w:r>
      <w:proofErr w:type="gramEnd"/>
      <w:r>
        <w:rPr>
          <w:rFonts w:ascii="Arial" w:hAnsi="Arial" w:cs="Arial"/>
          <w:sz w:val="22"/>
          <w:szCs w:val="22"/>
        </w:rPr>
        <w:t xml:space="preserve"> and the maximum may not exceed the following:</w:t>
      </w:r>
    </w:p>
    <w:p w14:paraId="36358167" w14:textId="77777777"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3DB2122D" w14:textId="77777777"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14:paraId="7370264E" w14:textId="77777777"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307A75FF" w14:textId="77777777"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650D949F" w14:textId="77777777" w:rsidR="009B0062" w:rsidRDefault="009B0062" w:rsidP="003B3015">
      <w:pPr>
        <w:pStyle w:val="B1Text"/>
        <w:rPr>
          <w:rFonts w:ascii="Arial" w:hAnsi="Arial" w:cs="Arial"/>
          <w:sz w:val="22"/>
          <w:szCs w:val="22"/>
        </w:rPr>
      </w:pPr>
    </w:p>
    <w:p w14:paraId="550B818F"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35763712"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132B8B8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8937ECD"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1D743506"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0E22E3A6"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6B84212F"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46F9E5A9" w14:textId="77777777"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7BEC5949" w14:textId="77777777"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14:paraId="352A3E01"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 xml:space="preserve">Section E, Schedule of Net Deferred </w:t>
      </w:r>
      <w:proofErr w:type="gramStart"/>
      <w:r w:rsidR="007C0075">
        <w:rPr>
          <w:rFonts w:ascii="Arial" w:hAnsi="Arial" w:cs="Arial"/>
          <w:color w:val="FF0000"/>
        </w:rPr>
        <w:t>Outflows</w:t>
      </w:r>
      <w:proofErr w:type="gramEnd"/>
      <w:r w:rsidR="007C0075">
        <w:rPr>
          <w:rFonts w:ascii="Arial" w:hAnsi="Arial" w:cs="Arial"/>
          <w:color w:val="FF0000"/>
        </w:rPr>
        <w:t xml:space="preserve">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ACE02BA" w14:textId="77777777">
        <w:tc>
          <w:tcPr>
            <w:tcW w:w="3120" w:type="dxa"/>
            <w:tcBorders>
              <w:top w:val="nil"/>
              <w:left w:val="nil"/>
              <w:bottom w:val="nil"/>
              <w:right w:val="nil"/>
            </w:tcBorders>
            <w:tcMar>
              <w:top w:w="20" w:type="dxa"/>
              <w:left w:w="20" w:type="dxa"/>
              <w:bottom w:w="20" w:type="dxa"/>
              <w:right w:w="20" w:type="dxa"/>
            </w:tcMar>
            <w:vAlign w:val="bottom"/>
          </w:tcPr>
          <w:p w14:paraId="3099893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D3145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63FDB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55DD767"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C4B71E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2A57AF16" w14:textId="77777777">
        <w:tc>
          <w:tcPr>
            <w:tcW w:w="3120" w:type="dxa"/>
            <w:tcBorders>
              <w:top w:val="nil"/>
              <w:left w:val="nil"/>
              <w:bottom w:val="nil"/>
              <w:right w:val="nil"/>
            </w:tcBorders>
            <w:tcMar>
              <w:top w:w="20" w:type="dxa"/>
              <w:left w:w="20" w:type="dxa"/>
              <w:bottom w:w="20" w:type="dxa"/>
              <w:right w:w="20" w:type="dxa"/>
            </w:tcMar>
            <w:vAlign w:val="bottom"/>
          </w:tcPr>
          <w:p w14:paraId="0C1D6981"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F654098"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0D57CA">
              <w:rPr>
                <w:rFonts w:ascii="Arial" w:hAnsi="Arial" w:cs="Arial"/>
                <w:color w:val="252525"/>
                <w:highlight w:val="yellow"/>
              </w:rPr>
              <w:t>X,XXX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4A6BF30A"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537E6A">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239318E7" w14:textId="77777777">
        <w:tc>
          <w:tcPr>
            <w:tcW w:w="3120" w:type="dxa"/>
            <w:tcBorders>
              <w:top w:val="nil"/>
              <w:left w:val="nil"/>
              <w:bottom w:val="nil"/>
              <w:right w:val="nil"/>
            </w:tcBorders>
            <w:tcMar>
              <w:top w:w="20" w:type="dxa"/>
              <w:left w:w="20" w:type="dxa"/>
              <w:bottom w:w="20" w:type="dxa"/>
              <w:right w:w="20" w:type="dxa"/>
            </w:tcMar>
            <w:vAlign w:val="bottom"/>
          </w:tcPr>
          <w:p w14:paraId="00E49A6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5D04898E"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A64307">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121DFD8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r>
      <w:tr w:rsidR="002A7845" w:rsidRPr="00FC7863" w14:paraId="74818A8D" w14:textId="77777777">
        <w:tc>
          <w:tcPr>
            <w:tcW w:w="3120" w:type="dxa"/>
            <w:tcBorders>
              <w:top w:val="nil"/>
              <w:left w:val="nil"/>
              <w:bottom w:val="nil"/>
              <w:right w:val="nil"/>
            </w:tcBorders>
            <w:tcMar>
              <w:top w:w="20" w:type="dxa"/>
              <w:left w:w="20" w:type="dxa"/>
              <w:bottom w:w="20" w:type="dxa"/>
              <w:right w:w="20" w:type="dxa"/>
            </w:tcMar>
            <w:vAlign w:val="bottom"/>
          </w:tcPr>
          <w:p w14:paraId="5D2F23F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7484AB73"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45208B">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20B2555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557BBD2C" w14:textId="77777777">
        <w:tc>
          <w:tcPr>
            <w:tcW w:w="3120" w:type="dxa"/>
            <w:tcBorders>
              <w:top w:val="nil"/>
              <w:left w:val="nil"/>
              <w:bottom w:val="nil"/>
              <w:right w:val="nil"/>
            </w:tcBorders>
            <w:tcMar>
              <w:top w:w="20" w:type="dxa"/>
              <w:left w:w="20" w:type="dxa"/>
              <w:bottom w:w="20" w:type="dxa"/>
              <w:right w:w="20" w:type="dxa"/>
            </w:tcMar>
            <w:vAlign w:val="bottom"/>
          </w:tcPr>
          <w:p w14:paraId="28AD452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1A429B7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D7576E" w:rsidRPr="00FC7863">
              <w:rPr>
                <w:rFonts w:ascii="Arial" w:hAnsi="Arial" w:cs="Arial"/>
                <w:color w:val="252525"/>
                <w:highlight w:val="yellow"/>
              </w:rPr>
              <w:t>XXX</w:t>
            </w:r>
            <w:proofErr w:type="gramEnd"/>
          </w:p>
        </w:tc>
        <w:tc>
          <w:tcPr>
            <w:tcW w:w="3120" w:type="dxa"/>
            <w:tcBorders>
              <w:top w:val="nil"/>
              <w:left w:val="nil"/>
              <w:bottom w:val="nil"/>
              <w:right w:val="nil"/>
            </w:tcBorders>
            <w:tcMar>
              <w:top w:w="20" w:type="dxa"/>
              <w:left w:w="20" w:type="dxa"/>
              <w:bottom w:w="20" w:type="dxa"/>
              <w:right w:w="20" w:type="dxa"/>
            </w:tcMar>
            <w:vAlign w:val="bottom"/>
          </w:tcPr>
          <w:p w14:paraId="085239B0"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w:t>
            </w:r>
            <w:r w:rsidR="00CF596C" w:rsidRPr="00FC7863">
              <w:rPr>
                <w:rFonts w:ascii="Arial" w:hAnsi="Arial" w:cs="Arial"/>
                <w:color w:val="252525"/>
                <w:highlight w:val="yellow"/>
              </w:rPr>
              <w:t>XXX</w:t>
            </w:r>
            <w:proofErr w:type="gramEnd"/>
          </w:p>
        </w:tc>
      </w:tr>
      <w:tr w:rsidR="002A7845" w:rsidRPr="00FC7863" w14:paraId="080761E4" w14:textId="77777777">
        <w:tc>
          <w:tcPr>
            <w:tcW w:w="3120" w:type="dxa"/>
            <w:tcBorders>
              <w:top w:val="nil"/>
              <w:left w:val="nil"/>
              <w:bottom w:val="nil"/>
              <w:right w:val="nil"/>
            </w:tcBorders>
            <w:tcMar>
              <w:top w:w="20" w:type="dxa"/>
              <w:left w:w="20" w:type="dxa"/>
              <w:bottom w:w="20" w:type="dxa"/>
              <w:right w:w="20" w:type="dxa"/>
            </w:tcMar>
            <w:vAlign w:val="bottom"/>
          </w:tcPr>
          <w:p w14:paraId="07152F9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w:t>
            </w:r>
            <w:proofErr w:type="gramStart"/>
            <w:r w:rsidR="00F61E87" w:rsidRPr="00FC7863">
              <w:rPr>
                <w:rFonts w:ascii="Arial" w:hAnsi="Arial" w:cs="Arial"/>
                <w:color w:val="252525"/>
              </w:rPr>
              <w:t>subsequent to</w:t>
            </w:r>
            <w:proofErr w:type="gramEnd"/>
            <w:r w:rsidR="00F61E87" w:rsidRPr="00FC7863">
              <w:rPr>
                <w:rFonts w:ascii="Arial" w:hAnsi="Arial" w:cs="Arial"/>
                <w:color w:val="252525"/>
              </w:rPr>
              <w:t xml:space="preserve">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52CF1E80"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6ED1F741"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1B4E99D" w14:textId="77777777">
        <w:tc>
          <w:tcPr>
            <w:tcW w:w="3120" w:type="dxa"/>
            <w:tcBorders>
              <w:top w:val="nil"/>
              <w:left w:val="nil"/>
              <w:bottom w:val="nil"/>
              <w:right w:val="nil"/>
            </w:tcBorders>
            <w:tcMar>
              <w:top w:w="20" w:type="dxa"/>
              <w:left w:w="20" w:type="dxa"/>
              <w:bottom w:w="20" w:type="dxa"/>
              <w:right w:w="20" w:type="dxa"/>
            </w:tcMar>
            <w:vAlign w:val="bottom"/>
          </w:tcPr>
          <w:p w14:paraId="1E4323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0AC034D"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ml:space="preserve">$ </w:t>
            </w:r>
            <w:proofErr w:type="gramStart"/>
            <w:r w:rsidRPr="00FC7863">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2076B87"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proofErr w:type="gramStart"/>
            <w:r w:rsidR="000D57CA">
              <w:rPr>
                <w:rFonts w:ascii="Arial" w:hAnsi="Arial" w:cs="Arial"/>
                <w:color w:val="252525"/>
                <w:highlight w:val="yellow"/>
                <w:u w:val="single"/>
              </w:rPr>
              <w:t>X,XXX</w:t>
            </w:r>
            <w:proofErr w:type="gramEnd"/>
            <w:r w:rsidR="00F61E87" w:rsidRPr="00FC7863">
              <w:rPr>
                <w:rFonts w:ascii="Arial" w:hAnsi="Arial" w:cs="Arial"/>
                <w:color w:val="252525"/>
                <w:highlight w:val="yellow"/>
                <w:u w:val="single"/>
              </w:rPr>
              <w:t xml:space="preserve"> </w:t>
            </w:r>
          </w:p>
        </w:tc>
      </w:tr>
      <w:tr w:rsidR="005C25A1" w:rsidRPr="00FC7863" w14:paraId="445C16A8" w14:textId="77777777">
        <w:tc>
          <w:tcPr>
            <w:tcW w:w="3120" w:type="dxa"/>
            <w:tcBorders>
              <w:top w:val="nil"/>
              <w:left w:val="nil"/>
              <w:bottom w:val="nil"/>
              <w:right w:val="nil"/>
            </w:tcBorders>
            <w:tcMar>
              <w:top w:w="20" w:type="dxa"/>
              <w:left w:w="20" w:type="dxa"/>
              <w:bottom w:w="20" w:type="dxa"/>
              <w:right w:w="20" w:type="dxa"/>
            </w:tcMar>
            <w:vAlign w:val="bottom"/>
          </w:tcPr>
          <w:p w14:paraId="7473287D"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0E5384D"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74ADA33B"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8621A7B" w14:textId="77777777">
        <w:tc>
          <w:tcPr>
            <w:tcW w:w="3120" w:type="dxa"/>
            <w:tcBorders>
              <w:top w:val="nil"/>
              <w:left w:val="nil"/>
              <w:bottom w:val="nil"/>
              <w:right w:val="nil"/>
            </w:tcBorders>
            <w:tcMar>
              <w:top w:w="20" w:type="dxa"/>
              <w:left w:w="20" w:type="dxa"/>
              <w:bottom w:w="20" w:type="dxa"/>
              <w:right w:w="20" w:type="dxa"/>
            </w:tcMar>
            <w:vAlign w:val="bottom"/>
          </w:tcPr>
          <w:p w14:paraId="1BDDF297"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CB0503E"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030315A5"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569EBBB9"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22948D4A"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37FD04A2"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w:t>
      </w:r>
      <w:proofErr w:type="gramStart"/>
      <w:r w:rsidR="007C0075">
        <w:rPr>
          <w:rFonts w:ascii="Arial" w:hAnsi="Arial" w:cs="Arial"/>
          <w:color w:val="FF0000"/>
        </w:rPr>
        <w:t>By</w:t>
      </w:r>
      <w:proofErr w:type="gramEnd"/>
      <w:r w:rsidR="007C0075">
        <w:rPr>
          <w:rFonts w:ascii="Arial" w:hAnsi="Arial" w:cs="Arial"/>
          <w:color w:val="FF0000"/>
        </w:rPr>
        <w:t xml:space="preserve"> Employer for Law </w:t>
      </w:r>
      <w:proofErr w:type="spellStart"/>
      <w:r w:rsidR="007C0075">
        <w:rPr>
          <w:rFonts w:ascii="Arial" w:hAnsi="Arial" w:cs="Arial"/>
          <w:color w:val="FF0000"/>
        </w:rPr>
        <w:t>Enforement</w:t>
      </w:r>
      <w:proofErr w:type="spellEnd"/>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C6C698B" w14:textId="77777777">
        <w:tc>
          <w:tcPr>
            <w:tcW w:w="4680" w:type="dxa"/>
            <w:tcBorders>
              <w:top w:val="nil"/>
              <w:left w:val="nil"/>
              <w:bottom w:val="nil"/>
              <w:right w:val="nil"/>
            </w:tcBorders>
            <w:tcMar>
              <w:top w:w="20" w:type="dxa"/>
              <w:left w:w="20" w:type="dxa"/>
              <w:bottom w:w="20" w:type="dxa"/>
              <w:right w:w="20" w:type="dxa"/>
            </w:tcMar>
            <w:vAlign w:val="bottom"/>
          </w:tcPr>
          <w:p w14:paraId="00A78FE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74824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5A37F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646142BE" w14:textId="77777777">
        <w:tc>
          <w:tcPr>
            <w:tcW w:w="4680" w:type="dxa"/>
            <w:tcBorders>
              <w:top w:val="nil"/>
              <w:left w:val="nil"/>
              <w:bottom w:val="nil"/>
              <w:right w:val="nil"/>
            </w:tcBorders>
            <w:tcMar>
              <w:top w:w="20" w:type="dxa"/>
              <w:left w:w="20" w:type="dxa"/>
              <w:bottom w:w="20" w:type="dxa"/>
              <w:right w:w="20" w:type="dxa"/>
            </w:tcMar>
            <w:vAlign w:val="bottom"/>
          </w:tcPr>
          <w:p w14:paraId="7619DECC" w14:textId="3A194F0E"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w:t>
            </w:r>
            <w:r w:rsidR="00530487">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14:paraId="59852820"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proofErr w:type="gramStart"/>
            <w:r w:rsidR="00E83725">
              <w:rPr>
                <w:rFonts w:ascii="Arial" w:hAnsi="Arial" w:cs="Arial"/>
                <w:color w:val="252525"/>
                <w:highlight w:val="yellow"/>
              </w:rPr>
              <w:t>X,XXX</w:t>
            </w:r>
            <w:proofErr w:type="gramEnd"/>
          </w:p>
        </w:tc>
      </w:tr>
      <w:tr w:rsidR="002A7845" w:rsidRPr="00FC7863" w14:paraId="6D561083" w14:textId="77777777">
        <w:tc>
          <w:tcPr>
            <w:tcW w:w="4680" w:type="dxa"/>
            <w:tcBorders>
              <w:top w:val="nil"/>
              <w:left w:val="nil"/>
              <w:bottom w:val="nil"/>
              <w:right w:val="nil"/>
            </w:tcBorders>
            <w:tcMar>
              <w:top w:w="20" w:type="dxa"/>
              <w:left w:w="20" w:type="dxa"/>
              <w:bottom w:w="20" w:type="dxa"/>
              <w:right w:w="20" w:type="dxa"/>
            </w:tcMar>
            <w:vAlign w:val="bottom"/>
          </w:tcPr>
          <w:p w14:paraId="024A5B2E" w14:textId="6343E338"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530487">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14:paraId="7998934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18D39AEE" w14:textId="77777777">
        <w:tc>
          <w:tcPr>
            <w:tcW w:w="4680" w:type="dxa"/>
            <w:tcBorders>
              <w:top w:val="nil"/>
              <w:left w:val="nil"/>
              <w:bottom w:val="nil"/>
              <w:right w:val="nil"/>
            </w:tcBorders>
            <w:tcMar>
              <w:top w:w="20" w:type="dxa"/>
              <w:left w:w="20" w:type="dxa"/>
              <w:bottom w:w="20" w:type="dxa"/>
              <w:right w:w="20" w:type="dxa"/>
            </w:tcMar>
            <w:vAlign w:val="bottom"/>
          </w:tcPr>
          <w:p w14:paraId="19C451BA" w14:textId="087B745E"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530487">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1B8001D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5A6D5D59" w14:textId="77777777">
        <w:tc>
          <w:tcPr>
            <w:tcW w:w="4680" w:type="dxa"/>
            <w:tcBorders>
              <w:top w:val="nil"/>
              <w:left w:val="nil"/>
              <w:bottom w:val="nil"/>
              <w:right w:val="nil"/>
            </w:tcBorders>
            <w:tcMar>
              <w:top w:w="20" w:type="dxa"/>
              <w:left w:w="20" w:type="dxa"/>
              <w:bottom w:w="20" w:type="dxa"/>
              <w:right w:w="20" w:type="dxa"/>
            </w:tcMar>
            <w:vAlign w:val="bottom"/>
          </w:tcPr>
          <w:p w14:paraId="08EB5FAD" w14:textId="450EBE6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530487">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48C220B3"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16EC188C" w14:textId="77777777">
        <w:tc>
          <w:tcPr>
            <w:tcW w:w="4680" w:type="dxa"/>
            <w:tcBorders>
              <w:top w:val="nil"/>
              <w:left w:val="nil"/>
              <w:bottom w:val="nil"/>
              <w:right w:val="nil"/>
            </w:tcBorders>
            <w:tcMar>
              <w:top w:w="20" w:type="dxa"/>
              <w:left w:w="20" w:type="dxa"/>
              <w:bottom w:w="20" w:type="dxa"/>
              <w:right w:w="20" w:type="dxa"/>
            </w:tcMar>
            <w:vAlign w:val="bottom"/>
          </w:tcPr>
          <w:p w14:paraId="30A315DF" w14:textId="0587EE9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530487">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7B8ACD1F"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r w:rsidR="002A7845" w:rsidRPr="00FC7863" w14:paraId="6C1F0C0E" w14:textId="77777777">
        <w:tc>
          <w:tcPr>
            <w:tcW w:w="4680" w:type="dxa"/>
            <w:tcBorders>
              <w:top w:val="nil"/>
              <w:left w:val="nil"/>
              <w:bottom w:val="nil"/>
              <w:right w:val="nil"/>
            </w:tcBorders>
            <w:tcMar>
              <w:top w:w="20" w:type="dxa"/>
              <w:left w:w="20" w:type="dxa"/>
              <w:bottom w:w="20" w:type="dxa"/>
              <w:right w:w="20" w:type="dxa"/>
            </w:tcMar>
            <w:vAlign w:val="bottom"/>
          </w:tcPr>
          <w:p w14:paraId="7A7677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DC4A5F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proofErr w:type="gramStart"/>
            <w:r>
              <w:rPr>
                <w:rFonts w:ascii="Arial" w:hAnsi="Arial" w:cs="Arial"/>
                <w:color w:val="252525"/>
                <w:highlight w:val="yellow"/>
              </w:rPr>
              <w:t>X,XXX</w:t>
            </w:r>
            <w:proofErr w:type="gramEnd"/>
          </w:p>
        </w:tc>
      </w:tr>
    </w:tbl>
    <w:p w14:paraId="7E1E5870"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6D33BB7E" w14:textId="77777777"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14:paraId="74ACC5E2" w14:textId="77777777"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14:paraId="23306BB6" w14:textId="77777777"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14:paraId="13A0DB4B" w14:textId="7F61739D"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w:t>
      </w:r>
      <w:r w:rsidR="00530487">
        <w:rPr>
          <w:rFonts w:ascii="Arial" w:hAnsi="Arial" w:cs="Arial"/>
        </w:rPr>
        <w:t>20</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14:paraId="7D8B7DDD" w14:textId="77777777"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098C3D"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1255B849"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14:paraId="397674DE"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B689413"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2605826F" w14:textId="54E9DA80"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w:t>
            </w:r>
            <w:r w:rsidR="00530487">
              <w:rPr>
                <w:rFonts w:ascii="Arial" w:hAnsi="Arial" w:cs="Arial"/>
                <w:sz w:val="22"/>
                <w:szCs w:val="22"/>
              </w:rPr>
              <w:t>25</w:t>
            </w:r>
            <w:r w:rsidR="00040A2F" w:rsidRPr="00E27355">
              <w:rPr>
                <w:rFonts w:ascii="Arial" w:hAnsi="Arial" w:cs="Arial"/>
                <w:sz w:val="22"/>
                <w:szCs w:val="22"/>
              </w:rPr>
              <w:t xml:space="preserve">% </w:t>
            </w:r>
          </w:p>
          <w:p w14:paraId="3C699499" w14:textId="77777777" w:rsidR="00040A2F" w:rsidRPr="00E27355" w:rsidRDefault="00040A2F" w:rsidP="00A81138">
            <w:pPr>
              <w:pStyle w:val="Default"/>
              <w:rPr>
                <w:rFonts w:ascii="Arial" w:hAnsi="Arial" w:cs="Arial"/>
                <w:sz w:val="22"/>
                <w:szCs w:val="22"/>
              </w:rPr>
            </w:pPr>
          </w:p>
        </w:tc>
      </w:tr>
      <w:tr w:rsidR="00040A2F" w:rsidRPr="00E27355" w14:paraId="2163E4F0" w14:textId="77777777"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06E46D6" w14:textId="77777777"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7D65845" w14:textId="3CFC87F2" w:rsidR="00040A2F" w:rsidRDefault="00530487" w:rsidP="00A81138">
            <w:pPr>
              <w:pStyle w:val="Default"/>
              <w:rPr>
                <w:rFonts w:ascii="ArialMT" w:hAnsi="ArialMT" w:cs="ArialMT"/>
                <w:sz w:val="18"/>
                <w:szCs w:val="18"/>
              </w:rPr>
            </w:pPr>
            <w:r w:rsidRPr="00530487">
              <w:rPr>
                <w:rFonts w:ascii="Arial" w:hAnsi="Arial" w:cs="Arial"/>
                <w:sz w:val="22"/>
                <w:szCs w:val="22"/>
              </w:rPr>
              <w:t>3.5% to 17.75% including inflation</w:t>
            </w:r>
          </w:p>
          <w:p w14:paraId="350524DC" w14:textId="77777777" w:rsidR="00040A2F" w:rsidRPr="00E27355" w:rsidRDefault="00040A2F" w:rsidP="00A81138">
            <w:pPr>
              <w:pStyle w:val="Default"/>
              <w:rPr>
                <w:rFonts w:ascii="Arial" w:hAnsi="Arial" w:cs="Arial"/>
                <w:color w:val="000000" w:themeColor="text1"/>
                <w:sz w:val="22"/>
                <w:szCs w:val="22"/>
              </w:rPr>
            </w:pPr>
          </w:p>
        </w:tc>
      </w:tr>
      <w:tr w:rsidR="00040A2F" w:rsidRPr="00E27355" w14:paraId="68129E2D"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10529CF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C5B5D2E" w14:textId="3001DBB1" w:rsidR="00040A2F" w:rsidRPr="00E27355" w:rsidRDefault="00040A2F" w:rsidP="00A81138">
            <w:pPr>
              <w:pStyle w:val="Default"/>
              <w:rPr>
                <w:rFonts w:ascii="Arial" w:hAnsi="Arial" w:cs="Arial"/>
                <w:sz w:val="22"/>
                <w:szCs w:val="22"/>
              </w:rPr>
            </w:pPr>
            <w:r>
              <w:rPr>
                <w:rFonts w:ascii="Arial" w:hAnsi="Arial" w:cs="Arial"/>
                <w:sz w:val="22"/>
                <w:szCs w:val="22"/>
              </w:rPr>
              <w:t>7.</w:t>
            </w:r>
            <w:r w:rsidR="00530487">
              <w:rPr>
                <w:rFonts w:ascii="Arial" w:hAnsi="Arial" w:cs="Arial"/>
                <w:sz w:val="22"/>
                <w:szCs w:val="22"/>
              </w:rPr>
              <w:t>0</w:t>
            </w:r>
            <w:r w:rsidR="00D106A0">
              <w:rPr>
                <w:rFonts w:ascii="Arial" w:hAnsi="Arial" w:cs="Arial"/>
                <w:sz w:val="22"/>
                <w:szCs w:val="22"/>
              </w:rPr>
              <w:t>0</w:t>
            </w:r>
            <w:r w:rsidRPr="00E27355">
              <w:rPr>
                <w:rFonts w:ascii="Arial" w:hAnsi="Arial" w:cs="Arial"/>
                <w:sz w:val="22"/>
                <w:szCs w:val="22"/>
              </w:rPr>
              <w:t xml:space="preserve">%, net of investment expenses </w:t>
            </w:r>
          </w:p>
        </w:tc>
      </w:tr>
      <w:tr w:rsidR="00040A2F" w:rsidRPr="00E27355" w14:paraId="11ADA698"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D4B16D7"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34B7FE9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14:paraId="5E8083A9" w14:textId="7777777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4DDCC53F"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2987EC49"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14:paraId="0347CDC1" w14:textId="38D0E5C5"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sidR="00137CFD">
        <w:rPr>
          <w:rFonts w:ascii="Arial" w:hAnsi="Arial" w:cs="Arial"/>
          <w:sz w:val="22"/>
          <w:szCs w:val="22"/>
        </w:rPr>
        <w:t xml:space="preserve">Sex-distinct Pub-2010 table for General Employees, with scaling based on actual experience. </w:t>
      </w:r>
      <w:r w:rsidR="00137CFD"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74AD130B" w14:textId="77777777"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14:paraId="2EC0741A" w14:textId="77777777"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2832D19A" w14:textId="77777777"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14:paraId="34ABB137" w14:textId="77777777" w:rsidTr="00D01E08">
        <w:tc>
          <w:tcPr>
            <w:tcW w:w="3192" w:type="dxa"/>
          </w:tcPr>
          <w:p w14:paraId="409FD7B6"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F2347F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178DC42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14:paraId="0B8E750D" w14:textId="77777777" w:rsidTr="00D01E08">
        <w:tc>
          <w:tcPr>
            <w:tcW w:w="3192" w:type="dxa"/>
          </w:tcPr>
          <w:p w14:paraId="39BA4DA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3B4265EC"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AD31ED" w:rsidRPr="00AD31ED">
              <w:rPr>
                <w:rFonts w:ascii="Arial" w:hAnsi="Arial" w:cs="Arial"/>
                <w:color w:val="252525"/>
              </w:rPr>
              <w:t>0</w:t>
            </w:r>
            <w:r w:rsidRPr="00AD31ED">
              <w:rPr>
                <w:rFonts w:ascii="Arial" w:hAnsi="Arial" w:cs="Arial"/>
                <w:color w:val="252525"/>
              </w:rPr>
              <w:t>%</w:t>
            </w:r>
          </w:p>
        </w:tc>
        <w:tc>
          <w:tcPr>
            <w:tcW w:w="3192" w:type="dxa"/>
          </w:tcPr>
          <w:p w14:paraId="7D4CEF8A" w14:textId="3DFD497E"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137CFD">
              <w:rPr>
                <w:rFonts w:ascii="Arial" w:hAnsi="Arial" w:cs="Arial"/>
                <w:color w:val="252525"/>
              </w:rPr>
              <w:t>30</w:t>
            </w:r>
            <w:r w:rsidRPr="00AD31ED">
              <w:rPr>
                <w:rFonts w:ascii="Arial" w:hAnsi="Arial" w:cs="Arial"/>
                <w:color w:val="252525"/>
              </w:rPr>
              <w:t>%</w:t>
            </w:r>
          </w:p>
        </w:tc>
      </w:tr>
      <w:tr w:rsidR="003C63CC" w14:paraId="0FBD9757" w14:textId="77777777" w:rsidTr="00D01E08">
        <w:tc>
          <w:tcPr>
            <w:tcW w:w="3192" w:type="dxa"/>
          </w:tcPr>
          <w:p w14:paraId="732D2732"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2645A133"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14:paraId="5845FB11" w14:textId="4E500BC6"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137CFD">
              <w:rPr>
                <w:rFonts w:ascii="Arial" w:hAnsi="Arial" w:cs="Arial"/>
                <w:color w:val="252525"/>
              </w:rPr>
              <w:t>8</w:t>
            </w:r>
            <w:r w:rsidR="00D106A0">
              <w:rPr>
                <w:rFonts w:ascii="Arial" w:hAnsi="Arial" w:cs="Arial"/>
                <w:color w:val="252525"/>
              </w:rPr>
              <w:t>5</w:t>
            </w:r>
            <w:r w:rsidR="003C63CC" w:rsidRPr="00AD31ED">
              <w:rPr>
                <w:rFonts w:ascii="Arial" w:hAnsi="Arial" w:cs="Arial"/>
                <w:color w:val="252525"/>
              </w:rPr>
              <w:t>%</w:t>
            </w:r>
          </w:p>
        </w:tc>
      </w:tr>
      <w:tr w:rsidR="003C63CC" w14:paraId="1109A768" w14:textId="77777777" w:rsidTr="00D01E08">
        <w:tc>
          <w:tcPr>
            <w:tcW w:w="3192" w:type="dxa"/>
          </w:tcPr>
          <w:p w14:paraId="7763A81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453553A0"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14:paraId="29D5FAF7" w14:textId="4582BBA9"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137CFD">
              <w:rPr>
                <w:rFonts w:ascii="Arial" w:hAnsi="Arial" w:cs="Arial"/>
                <w:color w:val="252525"/>
              </w:rPr>
              <w:t xml:space="preserve">  9.75</w:t>
            </w:r>
            <w:r w:rsidRPr="00AD31ED">
              <w:rPr>
                <w:rFonts w:ascii="Arial" w:hAnsi="Arial" w:cs="Arial"/>
                <w:color w:val="252525"/>
              </w:rPr>
              <w:t>%</w:t>
            </w:r>
          </w:p>
        </w:tc>
      </w:tr>
      <w:tr w:rsidR="003C63CC" w14:paraId="07A4AFAD" w14:textId="77777777" w:rsidTr="00D01E08">
        <w:tc>
          <w:tcPr>
            <w:tcW w:w="3192" w:type="dxa"/>
          </w:tcPr>
          <w:p w14:paraId="3A67F3CF"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41011A6D"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14:paraId="625F9359" w14:textId="4471556D" w:rsidR="003C63CC" w:rsidRPr="00AD31ED" w:rsidRDefault="00137CFD"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1.25</w:t>
            </w:r>
            <w:r w:rsidR="003C63CC" w:rsidRPr="00AD31ED">
              <w:rPr>
                <w:rFonts w:ascii="Arial" w:hAnsi="Arial" w:cs="Arial"/>
                <w:color w:val="252525"/>
              </w:rPr>
              <w:t>%</w:t>
            </w:r>
          </w:p>
        </w:tc>
      </w:tr>
      <w:tr w:rsidR="003C63CC" w14:paraId="29798748" w14:textId="77777777" w:rsidTr="00D01E08">
        <w:tc>
          <w:tcPr>
            <w:tcW w:w="3192" w:type="dxa"/>
          </w:tcPr>
          <w:p w14:paraId="53F43A5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5B6FFCAB"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723D01C3"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14:paraId="23A91F78" w14:textId="77777777" w:rsidTr="00D01E08">
        <w:tc>
          <w:tcPr>
            <w:tcW w:w="3192" w:type="dxa"/>
          </w:tcPr>
          <w:p w14:paraId="3647AF4C"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771CBDCA"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14:paraId="24A9DDA7" w14:textId="1DADA784"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5.</w:t>
            </w:r>
            <w:r w:rsidR="00137CFD">
              <w:rPr>
                <w:rFonts w:ascii="Arial" w:hAnsi="Arial" w:cs="Arial"/>
                <w:color w:val="252525"/>
              </w:rPr>
              <w:t>0</w:t>
            </w:r>
            <w:r w:rsidR="00AD31ED" w:rsidRPr="00AD31ED">
              <w:rPr>
                <w:rFonts w:ascii="Arial" w:hAnsi="Arial" w:cs="Arial"/>
                <w:color w:val="252525"/>
              </w:rPr>
              <w:t>1</w:t>
            </w:r>
            <w:r w:rsidRPr="00AD31ED">
              <w:rPr>
                <w:rFonts w:ascii="Arial" w:hAnsi="Arial" w:cs="Arial"/>
                <w:color w:val="252525"/>
              </w:rPr>
              <w:t>%</w:t>
            </w:r>
          </w:p>
        </w:tc>
      </w:tr>
      <w:tr w:rsidR="003C63CC" w14:paraId="7631C462" w14:textId="77777777" w:rsidTr="00D01E08">
        <w:tc>
          <w:tcPr>
            <w:tcW w:w="3192" w:type="dxa"/>
          </w:tcPr>
          <w:p w14:paraId="2A29033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026DB099"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451C9FF8"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6E47EBE5" w14:textId="77777777"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14:paraId="5831999D"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1DF0BC2"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64D2BE48"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3DAC1D4"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7A4A9B2F"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1B304A9E" w14:textId="77777777"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26AB62A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17F42637" w14:textId="77777777" w:rsidR="00040A2F" w:rsidRDefault="00040A2F" w:rsidP="00040A2F">
      <w:pPr>
        <w:autoSpaceDE w:val="0"/>
        <w:autoSpaceDN w:val="0"/>
        <w:adjustRightInd w:val="0"/>
        <w:spacing w:after="0" w:line="240" w:lineRule="auto"/>
        <w:rPr>
          <w:rFonts w:ascii="ArialMT" w:hAnsi="ArialMT" w:cs="ArialMT"/>
        </w:rPr>
      </w:pPr>
    </w:p>
    <w:p w14:paraId="0C6AD06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14:paraId="78C95FF2"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6072BC06" w14:textId="77777777" w:rsidR="00040A2F" w:rsidRDefault="00040A2F" w:rsidP="00040A2F">
      <w:pPr>
        <w:autoSpaceDE w:val="0"/>
        <w:autoSpaceDN w:val="0"/>
        <w:adjustRightInd w:val="0"/>
        <w:spacing w:after="0" w:line="240" w:lineRule="auto"/>
        <w:rPr>
          <w:rFonts w:ascii="ArialMT" w:hAnsi="ArialMT" w:cs="ArialMT"/>
        </w:rPr>
      </w:pPr>
    </w:p>
    <w:p w14:paraId="2CA42EC9" w14:textId="0CF7742F" w:rsidR="00040A2F" w:rsidRPr="00231F49" w:rsidRDefault="00040A2F" w:rsidP="00040A2F">
      <w:pPr>
        <w:autoSpaceDE w:val="0"/>
        <w:autoSpaceDN w:val="0"/>
        <w:adjustRightInd w:val="0"/>
        <w:spacing w:after="0" w:line="240" w:lineRule="auto"/>
        <w:rPr>
          <w:rFonts w:ascii="ArialMT" w:hAnsi="ArialMT" w:cs="ArialMT"/>
        </w:rPr>
      </w:pPr>
      <w:proofErr w:type="gramStart"/>
      <w:r>
        <w:rPr>
          <w:rFonts w:ascii="ArialMT" w:hAnsi="ArialMT" w:cs="ArialMT"/>
        </w:rPr>
        <w:t>For the purpose of</w:t>
      </w:r>
      <w:proofErr w:type="gramEnd"/>
      <w:r>
        <w:rPr>
          <w:rFonts w:ascii="ArialMT" w:hAnsi="ArialMT" w:cs="ArialMT"/>
        </w:rPr>
        <w:t xml:space="preserve"> this valuation, the expected rate of return on pension plan investments is 7.</w:t>
      </w:r>
      <w:r w:rsidR="00473EDC">
        <w:rPr>
          <w:rFonts w:ascii="ArialMT" w:hAnsi="ArialMT" w:cs="ArialMT"/>
        </w:rPr>
        <w:t>0</w:t>
      </w:r>
      <w:r w:rsidR="00D106A0">
        <w:rPr>
          <w:rFonts w:ascii="ArialMT" w:hAnsi="ArialMT" w:cs="ArialMT"/>
        </w:rPr>
        <w:t>0</w:t>
      </w:r>
      <w:r>
        <w:rPr>
          <w:rFonts w:ascii="ArialMT" w:hAnsi="ArialMT" w:cs="ArialMT"/>
        </w:rPr>
        <w:t xml:space="preserve">%; the municipal bond rate is </w:t>
      </w:r>
      <w:r w:rsidR="00137CFD">
        <w:rPr>
          <w:rFonts w:ascii="ArialMT" w:hAnsi="ArialMT" w:cs="ArialMT"/>
        </w:rPr>
        <w:t>2.45</w:t>
      </w:r>
      <w:r>
        <w:rPr>
          <w:rFonts w:ascii="ArialMT" w:hAnsi="ArialMT" w:cs="ArialMT"/>
        </w:rPr>
        <w:t xml:space="preserve">%; and the resulting Single Discount Rate is </w:t>
      </w:r>
      <w:r w:rsidR="00137CFD">
        <w:rPr>
          <w:rFonts w:ascii="ArialMT" w:hAnsi="ArialMT" w:cs="ArialMT"/>
        </w:rPr>
        <w:t>4.64</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14:paraId="31A3B17B" w14:textId="77777777"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14:paraId="6FDC9B11"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35BDC7" w14:textId="31AAAF71"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FE0A93">
        <w:rPr>
          <w:rFonts w:ascii="Arial" w:hAnsi="Arial" w:cs="Arial"/>
          <w:color w:val="252525"/>
        </w:rPr>
        <w:t>4.64</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FE0A93">
        <w:rPr>
          <w:rFonts w:ascii="Arial" w:hAnsi="Arial" w:cs="Arial"/>
          <w:color w:val="252525"/>
        </w:rPr>
        <w:t>3.64</w:t>
      </w:r>
      <w:r w:rsidRPr="00CA65EF">
        <w:rPr>
          <w:rFonts w:ascii="Arial" w:hAnsi="Arial" w:cs="Arial"/>
          <w:color w:val="252525"/>
        </w:rPr>
        <w:t xml:space="preserve"> percent) or 1-percentage-point higher (</w:t>
      </w:r>
      <w:r w:rsidR="00FE0A93">
        <w:rPr>
          <w:rFonts w:ascii="Arial" w:hAnsi="Arial" w:cs="Arial"/>
          <w:color w:val="252525"/>
        </w:rPr>
        <w:t>5.64</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 xml:space="preserve">E, Net Pension Liability Discount Rate Sensitivity by Employer for Law </w:t>
      </w:r>
      <w:proofErr w:type="spellStart"/>
      <w:r w:rsidR="007C0075">
        <w:rPr>
          <w:rFonts w:ascii="Arial" w:hAnsi="Arial" w:cs="Arial"/>
          <w:color w:val="FF0000"/>
        </w:rPr>
        <w:t>Enforement</w:t>
      </w:r>
      <w:proofErr w:type="spellEnd"/>
      <w:r w:rsidR="007C0075">
        <w:rPr>
          <w:rFonts w:ascii="Arial" w:hAnsi="Arial" w:cs="Arial"/>
          <w:color w:val="FF0000"/>
        </w:rPr>
        <w:t>)</w:t>
      </w:r>
    </w:p>
    <w:p w14:paraId="11BE7CF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B559F15" w14:textId="77777777">
        <w:tc>
          <w:tcPr>
            <w:tcW w:w="2340" w:type="dxa"/>
            <w:tcBorders>
              <w:top w:val="nil"/>
              <w:left w:val="nil"/>
              <w:bottom w:val="nil"/>
              <w:right w:val="nil"/>
            </w:tcBorders>
            <w:tcMar>
              <w:top w:w="20" w:type="dxa"/>
              <w:left w:w="20" w:type="dxa"/>
              <w:bottom w:w="20" w:type="dxa"/>
              <w:right w:w="20" w:type="dxa"/>
            </w:tcMar>
            <w:vAlign w:val="bottom"/>
          </w:tcPr>
          <w:p w14:paraId="53CE064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1D46C46" w14:textId="20814A48"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137CFD">
              <w:rPr>
                <w:rFonts w:ascii="Arial" w:hAnsi="Arial" w:cs="Arial"/>
                <w:b/>
                <w:bCs/>
                <w:color w:val="252525"/>
              </w:rPr>
              <w:t>3.64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D4A8B06" w14:textId="4FEFC125"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137CFD">
              <w:rPr>
                <w:rFonts w:ascii="Arial" w:hAnsi="Arial" w:cs="Arial"/>
                <w:b/>
                <w:bCs/>
                <w:color w:val="252525"/>
              </w:rPr>
              <w:t>4.64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5FC45DF6" w14:textId="0315AD52"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137CFD">
              <w:rPr>
                <w:rFonts w:ascii="Arial" w:hAnsi="Arial" w:cs="Arial"/>
                <w:b/>
                <w:bCs/>
                <w:color w:val="252525"/>
              </w:rPr>
              <w:t>5.64</w:t>
            </w:r>
            <w:r w:rsidRPr="00413729">
              <w:rPr>
                <w:rFonts w:ascii="Arial" w:hAnsi="Arial" w:cs="Arial"/>
                <w:b/>
                <w:bCs/>
                <w:color w:val="252525"/>
              </w:rPr>
              <w:t>%)</w:t>
            </w:r>
          </w:p>
        </w:tc>
      </w:tr>
      <w:tr w:rsidR="002A7845" w:rsidRPr="00FC7863" w14:paraId="318AA96B" w14:textId="77777777">
        <w:tc>
          <w:tcPr>
            <w:tcW w:w="2340" w:type="dxa"/>
            <w:tcBorders>
              <w:top w:val="nil"/>
              <w:left w:val="nil"/>
              <w:bottom w:val="nil"/>
              <w:right w:val="nil"/>
            </w:tcBorders>
            <w:tcMar>
              <w:top w:w="20" w:type="dxa"/>
              <w:left w:w="20" w:type="dxa"/>
              <w:bottom w:w="20" w:type="dxa"/>
              <w:right w:w="20" w:type="dxa"/>
            </w:tcMar>
            <w:vAlign w:val="bottom"/>
          </w:tcPr>
          <w:p w14:paraId="6EC48DA4"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057AC272"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51823840"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c>
          <w:tcPr>
            <w:tcW w:w="2340" w:type="dxa"/>
            <w:tcBorders>
              <w:top w:val="nil"/>
              <w:left w:val="nil"/>
              <w:bottom w:val="nil"/>
              <w:right w:val="nil"/>
            </w:tcBorders>
            <w:tcMar>
              <w:top w:w="20" w:type="dxa"/>
              <w:left w:w="20" w:type="dxa"/>
              <w:bottom w:w="20" w:type="dxa"/>
              <w:right w:w="20" w:type="dxa"/>
            </w:tcMar>
            <w:vAlign w:val="bottom"/>
          </w:tcPr>
          <w:p w14:paraId="0BB4C8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proofErr w:type="gramStart"/>
            <w:r w:rsidR="00E83725">
              <w:rPr>
                <w:rFonts w:ascii="Arial" w:hAnsi="Arial" w:cs="Arial"/>
                <w:color w:val="252525"/>
                <w:highlight w:val="yellow"/>
              </w:rPr>
              <w:t>X,XXX</w:t>
            </w:r>
            <w:proofErr w:type="gramEnd"/>
          </w:p>
        </w:tc>
      </w:tr>
    </w:tbl>
    <w:p w14:paraId="2F922D4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5DF307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E52355F" w14:textId="77777777"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22D63A95"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921B08"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E9B6D2" w14:textId="77777777" w:rsidR="00137CFD" w:rsidRDefault="00137CFD" w:rsidP="00FC7863">
      <w:pPr>
        <w:widowControl w:val="0"/>
        <w:suppressAutoHyphens/>
        <w:autoSpaceDE w:val="0"/>
        <w:autoSpaceDN w:val="0"/>
        <w:adjustRightInd w:val="0"/>
        <w:spacing w:after="0" w:line="240" w:lineRule="auto"/>
        <w:rPr>
          <w:rFonts w:ascii="Arial" w:hAnsi="Arial" w:cs="Arial"/>
          <w:b/>
          <w:bCs/>
          <w:color w:val="000000"/>
        </w:rPr>
      </w:pPr>
    </w:p>
    <w:p w14:paraId="345C74B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59F6BB51"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97CF1A8"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94FB50F" w14:textId="1417402D"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B05C66D" w14:textId="079A39C3"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A6B279" w14:textId="1019B47C"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52DBB6F" w14:textId="067C689F"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DC64053" w14:textId="699EA291"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5CF7C9B" w14:textId="77777777"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1E20A65"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57B5879A"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A2000A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68C5F21D" w14:textId="77777777"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14:paraId="0CE62E83"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7593013F"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14:paraId="23A3CDC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5E1A9A9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0023C335" w14:textId="77777777" w:rsidTr="000C1916">
        <w:tc>
          <w:tcPr>
            <w:tcW w:w="4788" w:type="dxa"/>
          </w:tcPr>
          <w:p w14:paraId="3DAA903E"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36C6321" w14:textId="0E7B89F6"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137CFD">
              <w:rPr>
                <w:rFonts w:ascii="Arial" w:hAnsi="Arial" w:cs="Arial"/>
                <w:color w:val="252525"/>
              </w:rPr>
              <w:t>1</w:t>
            </w:r>
          </w:p>
        </w:tc>
      </w:tr>
      <w:tr w:rsidR="00855ADA" w14:paraId="68B5C5CA" w14:textId="77777777" w:rsidTr="00404677">
        <w:trPr>
          <w:trHeight w:val="620"/>
        </w:trPr>
        <w:tc>
          <w:tcPr>
            <w:tcW w:w="4788" w:type="dxa"/>
          </w:tcPr>
          <w:p w14:paraId="7704700A"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004B1AC9"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C4F492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14:paraId="585DFDB5" w14:textId="77777777" w:rsidTr="00404677">
        <w:trPr>
          <w:trHeight w:val="620"/>
        </w:trPr>
        <w:tc>
          <w:tcPr>
            <w:tcW w:w="4788" w:type="dxa"/>
          </w:tcPr>
          <w:p w14:paraId="2071CB3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488D1DD2"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p>
          <w:p w14:paraId="68BDE74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14:paraId="64306579" w14:textId="77777777" w:rsidTr="00404677">
        <w:trPr>
          <w:trHeight w:val="440"/>
        </w:trPr>
        <w:tc>
          <w:tcPr>
            <w:tcW w:w="4788" w:type="dxa"/>
          </w:tcPr>
          <w:p w14:paraId="28DAF91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73920C1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44E6C56B"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14:paraId="60D1282C" w14:textId="77777777" w:rsidTr="00404677">
        <w:trPr>
          <w:trHeight w:val="890"/>
        </w:trPr>
        <w:tc>
          <w:tcPr>
            <w:tcW w:w="4788" w:type="dxa"/>
          </w:tcPr>
          <w:p w14:paraId="2FB1B75D"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4FD42D8C"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19E427A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788C4D" w14:textId="77777777" w:rsidTr="00404677">
        <w:tc>
          <w:tcPr>
            <w:tcW w:w="4788" w:type="dxa"/>
          </w:tcPr>
          <w:p w14:paraId="52FF1446"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1EB997AD"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50FC7DF2" w14:textId="77777777"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14:paraId="08AB2238"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84C7352"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17F0DFE1"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0EC976B9"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61DC46F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5A9BA3A5"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1FE1E9BA"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8D056EB"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BA340C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0F7D54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EBCC76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1B39808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08045592"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953810E" w14:textId="34686A4D"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4C2CDD6" w14:textId="605F579E"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44B1302D" w14:textId="5C91F7C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6DB676E" w14:textId="0A1BD482"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8B44821" w14:textId="67401013"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1FB58CEF" w14:textId="7777777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038AC6B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7DF5F8AC"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6051E667"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4100EA70"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5B2EAF8A"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29112DB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131333C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14:paraId="62B6F80B"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0569D28"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14:paraId="35D7D53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2A79199C" w14:textId="77777777" w:rsidTr="00855ADA">
        <w:tc>
          <w:tcPr>
            <w:tcW w:w="4788" w:type="dxa"/>
          </w:tcPr>
          <w:p w14:paraId="341C2023"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3609A12D" w14:textId="1408BB30"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137CFD">
              <w:rPr>
                <w:rFonts w:ascii="Arial" w:hAnsi="Arial" w:cs="Arial"/>
                <w:color w:val="252525"/>
              </w:rPr>
              <w:t>1</w:t>
            </w:r>
          </w:p>
        </w:tc>
      </w:tr>
      <w:tr w:rsidR="00855ADA" w14:paraId="49C6A4A9" w14:textId="77777777" w:rsidTr="00404677">
        <w:trPr>
          <w:trHeight w:val="440"/>
        </w:trPr>
        <w:tc>
          <w:tcPr>
            <w:tcW w:w="4788" w:type="dxa"/>
          </w:tcPr>
          <w:p w14:paraId="02D83C7C"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3C95071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3EA181"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C0CD3F8" w14:textId="77777777" w:rsidTr="00404677">
        <w:trPr>
          <w:trHeight w:val="620"/>
        </w:trPr>
        <w:tc>
          <w:tcPr>
            <w:tcW w:w="4788" w:type="dxa"/>
          </w:tcPr>
          <w:p w14:paraId="64A7B63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11065F7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89C30E"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0543FA3" w14:textId="77777777" w:rsidTr="00404677">
        <w:trPr>
          <w:trHeight w:val="404"/>
        </w:trPr>
        <w:tc>
          <w:tcPr>
            <w:tcW w:w="4788" w:type="dxa"/>
          </w:tcPr>
          <w:p w14:paraId="632C8970"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EA17E4E"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54775066"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14:paraId="75A2EAB3" w14:textId="77777777" w:rsidTr="00404677">
        <w:trPr>
          <w:trHeight w:val="440"/>
        </w:trPr>
        <w:tc>
          <w:tcPr>
            <w:tcW w:w="4788" w:type="dxa"/>
          </w:tcPr>
          <w:p w14:paraId="3B19F6E1"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20E516"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proofErr w:type="gramStart"/>
            <w:r w:rsidR="00E83725">
              <w:rPr>
                <w:rFonts w:ascii="Arial" w:hAnsi="Arial" w:cs="Arial"/>
                <w:color w:val="252525"/>
                <w:highlight w:val="yellow"/>
              </w:rPr>
              <w:t>X,XXX</w:t>
            </w:r>
            <w:proofErr w:type="gramEnd"/>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7F0172ED"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13C42EF2" w14:textId="77777777" w:rsidTr="00404677">
        <w:tc>
          <w:tcPr>
            <w:tcW w:w="4788" w:type="dxa"/>
          </w:tcPr>
          <w:p w14:paraId="0612D7EE"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BF28587"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41F94B22"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14:paraId="6849BA5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F7EF0A0" w14:textId="77777777"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14:paraId="1EBF1C08" w14:textId="77777777"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24A31D40"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20A5D886" w14:textId="1750E800"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w:t>
      </w:r>
      <w:r w:rsidR="00137CFD">
        <w:rPr>
          <w:rFonts w:ascii="Arial" w:hAnsi="Arial" w:cs="Arial"/>
          <w:b/>
          <w:bCs/>
          <w:color w:val="252525"/>
          <w:sz w:val="28"/>
          <w:szCs w:val="28"/>
        </w:rPr>
        <w:t>1</w:t>
      </w:r>
    </w:p>
    <w:p w14:paraId="15704FF8"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C5BD72A"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1A5A4A37" w14:textId="7602FC20"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The interest rate earned on member contributions will decrease from 7.</w:t>
      </w:r>
      <w:r w:rsidR="00137CFD">
        <w:rPr>
          <w:rFonts w:ascii="ArialMT" w:hAnsi="ArialMT" w:cs="ArialMT"/>
        </w:rPr>
        <w:t>00</w:t>
      </w:r>
      <w:r>
        <w:rPr>
          <w:rFonts w:ascii="ArialMT" w:hAnsi="ArialMT" w:cs="ArialMT"/>
        </w:rPr>
        <w:t xml:space="preserve"> percent to </w:t>
      </w:r>
      <w:r w:rsidR="00137CFD">
        <w:rPr>
          <w:rFonts w:ascii="ArialMT" w:hAnsi="ArialMT" w:cs="ArialMT"/>
        </w:rPr>
        <w:t>6.5</w:t>
      </w:r>
      <w:r>
        <w:rPr>
          <w:rFonts w:ascii="ArialMT" w:hAnsi="ArialMT" w:cs="ArialMT"/>
        </w:rPr>
        <w:t>0</w:t>
      </w:r>
    </w:p>
    <w:p w14:paraId="14DDDF73" w14:textId="72354AC6"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percent effective January 1, 202</w:t>
      </w:r>
      <w:r w:rsidR="00137CFD">
        <w:rPr>
          <w:rFonts w:ascii="ArialMT" w:hAnsi="ArialMT" w:cs="ArialMT"/>
        </w:rPr>
        <w:t>1</w:t>
      </w:r>
      <w:r>
        <w:rPr>
          <w:rFonts w:ascii="ArialMT" w:hAnsi="ArialMT" w:cs="ArialMT"/>
        </w:rPr>
        <w:t xml:space="preserve"> (based on the adopted decrease in the investment return</w:t>
      </w:r>
    </w:p>
    <w:p w14:paraId="1ED1EC7C" w14:textId="09A773B0" w:rsidR="002564E7" w:rsidRPr="009348EB" w:rsidRDefault="00D106A0" w:rsidP="00D106A0">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assumption). New Public Safety members who are hired on or after January 1, 2020 will have a benefit multiplier of 1.75 percent (compared to the current benefit multiplier of 2.00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201</w:t>
      </w:r>
      <w:r w:rsidR="00137CFD">
        <w:rPr>
          <w:rFonts w:ascii="ArialMT" w:hAnsi="ArialMT" w:cs="ArialMT"/>
        </w:rPr>
        <w:t>9</w:t>
      </w:r>
      <w:r>
        <w:rPr>
          <w:rFonts w:ascii="ArialMT" w:hAnsi="ArialMT" w:cs="ArialMT"/>
        </w:rPr>
        <w:t>.</w:t>
      </w:r>
    </w:p>
    <w:p w14:paraId="766A233D"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0D6E554"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F289F42"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14:paraId="4472755A" w14:textId="77777777"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The Board approved the following changes to the actuarial assumptions beginning with the July</w:t>
      </w:r>
    </w:p>
    <w:p w14:paraId="760CD762" w14:textId="77777777"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1, 2019 valuation:</w:t>
      </w:r>
    </w:p>
    <w:p w14:paraId="65AFB4B3" w14:textId="77777777" w:rsidR="00D106A0" w:rsidRDefault="00D106A0" w:rsidP="00D106A0">
      <w:pPr>
        <w:autoSpaceDE w:val="0"/>
        <w:autoSpaceDN w:val="0"/>
        <w:adjustRightInd w:val="0"/>
        <w:spacing w:after="0" w:line="240" w:lineRule="auto"/>
        <w:rPr>
          <w:rFonts w:ascii="ArialMT" w:hAnsi="ArialMT" w:cs="ArialMT"/>
        </w:rPr>
      </w:pPr>
    </w:p>
    <w:p w14:paraId="20B418A9" w14:textId="2525F0AD" w:rsidR="00D106A0" w:rsidRPr="00137CFD" w:rsidRDefault="00D106A0" w:rsidP="00137CFD">
      <w:pPr>
        <w:pStyle w:val="ListParagraph"/>
        <w:numPr>
          <w:ilvl w:val="0"/>
          <w:numId w:val="84"/>
        </w:numPr>
        <w:autoSpaceDE w:val="0"/>
        <w:autoSpaceDN w:val="0"/>
        <w:adjustRightInd w:val="0"/>
        <w:spacing w:after="0" w:line="240" w:lineRule="auto"/>
        <w:rPr>
          <w:rFonts w:ascii="ArialMT" w:hAnsi="ArialMT" w:cs="ArialMT"/>
        </w:rPr>
      </w:pPr>
      <w:r w:rsidRPr="00137CFD">
        <w:rPr>
          <w:rFonts w:ascii="ArialMT" w:hAnsi="ArialMT" w:cs="ArialMT"/>
        </w:rPr>
        <w:t>The investment return assumption was lowered from 7.5% to 7.0%</w:t>
      </w:r>
    </w:p>
    <w:p w14:paraId="5B7120E6" w14:textId="77777777" w:rsidR="00137CFD" w:rsidRPr="00137CFD" w:rsidRDefault="00137CFD" w:rsidP="00137CFD">
      <w:pPr>
        <w:pStyle w:val="ListParagraph"/>
        <w:numPr>
          <w:ilvl w:val="0"/>
          <w:numId w:val="84"/>
        </w:numPr>
        <w:autoSpaceDE w:val="0"/>
        <w:autoSpaceDN w:val="0"/>
        <w:adjustRightInd w:val="0"/>
        <w:spacing w:after="0" w:line="240" w:lineRule="auto"/>
        <w:rPr>
          <w:rFonts w:ascii="ArialMT" w:hAnsi="ArialMT" w:cs="ArialMT"/>
        </w:rPr>
      </w:pPr>
      <w:r w:rsidRPr="00137CFD">
        <w:rPr>
          <w:rFonts w:ascii="ArialMT" w:hAnsi="ArialMT" w:cs="ArialMT"/>
        </w:rPr>
        <w:t>The assumed rate of price inflation was lowered from 2.5 to 2.25</w:t>
      </w:r>
    </w:p>
    <w:p w14:paraId="77BE384F" w14:textId="7FA924C8" w:rsidR="00137CFD" w:rsidRDefault="00137CFD" w:rsidP="00137CFD">
      <w:pPr>
        <w:pStyle w:val="ListParagraph"/>
        <w:autoSpaceDE w:val="0"/>
        <w:autoSpaceDN w:val="0"/>
        <w:adjustRightInd w:val="0"/>
        <w:spacing w:after="0" w:line="240" w:lineRule="auto"/>
        <w:ind w:left="1440"/>
        <w:rPr>
          <w:rFonts w:ascii="ArialMT" w:hAnsi="ArialMT" w:cs="ArialMT"/>
        </w:rPr>
      </w:pPr>
      <w:r>
        <w:rPr>
          <w:rFonts w:ascii="ArialMT" w:hAnsi="ArialMT" w:cs="ArialMT"/>
        </w:rPr>
        <w:t>percent for the July 1, 2020 valuation</w:t>
      </w:r>
    </w:p>
    <w:p w14:paraId="318B0879" w14:textId="77777777" w:rsidR="00137CFD" w:rsidRPr="00137CFD" w:rsidRDefault="00137CFD" w:rsidP="00137CFD">
      <w:pPr>
        <w:pStyle w:val="ListParagraph"/>
        <w:numPr>
          <w:ilvl w:val="0"/>
          <w:numId w:val="84"/>
        </w:numPr>
        <w:autoSpaceDE w:val="0"/>
        <w:autoSpaceDN w:val="0"/>
        <w:adjustRightInd w:val="0"/>
        <w:spacing w:after="0" w:line="240" w:lineRule="auto"/>
        <w:rPr>
          <w:rFonts w:ascii="ArialMT" w:hAnsi="ArialMT" w:cs="ArialMT"/>
        </w:rPr>
      </w:pPr>
      <w:r w:rsidRPr="00137CFD">
        <w:rPr>
          <w:rFonts w:ascii="ArialMT" w:hAnsi="ArialMT" w:cs="ArialMT"/>
        </w:rPr>
        <w:t>The assumed rate of total payroll growth was updated for the July 1,</w:t>
      </w:r>
    </w:p>
    <w:p w14:paraId="16F50046" w14:textId="07C8E2FD" w:rsidR="00137CFD" w:rsidRDefault="00137CFD" w:rsidP="00137CFD">
      <w:pPr>
        <w:pStyle w:val="ListParagraph"/>
        <w:autoSpaceDE w:val="0"/>
        <w:autoSpaceDN w:val="0"/>
        <w:adjustRightInd w:val="0"/>
        <w:spacing w:after="0" w:line="240" w:lineRule="auto"/>
        <w:ind w:left="1440"/>
        <w:rPr>
          <w:rFonts w:ascii="ArialMT" w:hAnsi="ArialMT" w:cs="ArialMT"/>
        </w:rPr>
      </w:pPr>
      <w:r>
        <w:rPr>
          <w:rFonts w:ascii="ArialMT" w:hAnsi="ArialMT" w:cs="ArialMT"/>
        </w:rPr>
        <w:t>2020 valuation</w:t>
      </w:r>
    </w:p>
    <w:p w14:paraId="40B8B2BE" w14:textId="0862E44C" w:rsidR="00137CFD" w:rsidRPr="00137CFD" w:rsidRDefault="00137CFD" w:rsidP="00137CFD">
      <w:pPr>
        <w:pStyle w:val="ListParagraph"/>
        <w:numPr>
          <w:ilvl w:val="0"/>
          <w:numId w:val="84"/>
        </w:numPr>
        <w:autoSpaceDE w:val="0"/>
        <w:autoSpaceDN w:val="0"/>
        <w:adjustRightInd w:val="0"/>
        <w:spacing w:after="0" w:line="240" w:lineRule="auto"/>
        <w:rPr>
          <w:rFonts w:ascii="ArialMT" w:hAnsi="ArialMT" w:cs="ArialMT"/>
        </w:rPr>
      </w:pPr>
      <w:r w:rsidRPr="00137CFD">
        <w:rPr>
          <w:rFonts w:ascii="ArialMT" w:hAnsi="ArialMT" w:cs="ArialMT"/>
        </w:rPr>
        <w:t>Mortality table updates were made for the July 1, 2020 valuation</w:t>
      </w:r>
    </w:p>
    <w:p w14:paraId="11226A21" w14:textId="77777777" w:rsidR="00137CFD" w:rsidRPr="00137CFD" w:rsidRDefault="00137CFD" w:rsidP="00137CFD">
      <w:pPr>
        <w:pStyle w:val="ListParagraph"/>
        <w:autoSpaceDE w:val="0"/>
        <w:autoSpaceDN w:val="0"/>
        <w:adjustRightInd w:val="0"/>
        <w:spacing w:after="0" w:line="240" w:lineRule="auto"/>
        <w:ind w:left="1440"/>
        <w:rPr>
          <w:rFonts w:ascii="ArialMT" w:hAnsi="ArialMT" w:cs="ArialMT"/>
        </w:rPr>
      </w:pPr>
    </w:p>
    <w:p w14:paraId="3822D8DF" w14:textId="77777777" w:rsidR="00D106A0" w:rsidRDefault="00D106A0" w:rsidP="00D106A0">
      <w:pPr>
        <w:autoSpaceDE w:val="0"/>
        <w:autoSpaceDN w:val="0"/>
        <w:adjustRightInd w:val="0"/>
        <w:spacing w:after="0" w:line="240" w:lineRule="auto"/>
        <w:rPr>
          <w:rFonts w:ascii="ArialMT" w:hAnsi="ArialMT" w:cs="ArialMT"/>
        </w:rPr>
      </w:pPr>
    </w:p>
    <w:p w14:paraId="2BE6B5CF" w14:textId="77777777"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All other actuarial assumptions and the actuarial cost method are unchanged from the last</w:t>
      </w:r>
    </w:p>
    <w:p w14:paraId="5236E451" w14:textId="1A5C0A0F" w:rsidR="009348EB" w:rsidRPr="009348EB" w:rsidRDefault="00D106A0" w:rsidP="00137CFD">
      <w:pPr>
        <w:autoSpaceDE w:val="0"/>
        <w:autoSpaceDN w:val="0"/>
        <w:adjustRightInd w:val="0"/>
        <w:spacing w:after="0" w:line="240" w:lineRule="auto"/>
        <w:rPr>
          <w:rFonts w:ascii="Arial" w:hAnsi="Arial" w:cs="Arial"/>
          <w:i/>
          <w:iCs/>
          <w:color w:val="A6A6A6" w:themeColor="background1" w:themeShade="A6"/>
        </w:rPr>
      </w:pPr>
      <w:r>
        <w:rPr>
          <w:rFonts w:ascii="ArialMT" w:hAnsi="ArialMT" w:cs="ArialMT"/>
        </w:rPr>
        <w:t>actuarial valuation as of July 1, 201</w:t>
      </w:r>
      <w:r w:rsidR="00137CFD">
        <w:rPr>
          <w:rFonts w:ascii="ArialMT" w:hAnsi="ArialMT" w:cs="ArialMT"/>
        </w:rPr>
        <w:t>9</w:t>
      </w:r>
      <w:r>
        <w:rPr>
          <w:rFonts w:ascii="ArialMT" w:hAnsi="ArialMT" w:cs="ArialMT"/>
        </w:rPr>
        <w:t>.</w:t>
      </w: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7284" w14:textId="77777777" w:rsidR="002D6952" w:rsidRDefault="002D6952">
      <w:pPr>
        <w:spacing w:after="0" w:line="240" w:lineRule="auto"/>
      </w:pPr>
      <w:r>
        <w:separator/>
      </w:r>
    </w:p>
  </w:endnote>
  <w:endnote w:type="continuationSeparator" w:id="0">
    <w:p w14:paraId="3E12E682"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40760"/>
      <w:docPartObj>
        <w:docPartGallery w:val="Page Numbers (Bottom of Page)"/>
        <w:docPartUnique/>
      </w:docPartObj>
    </w:sdtPr>
    <w:sdtEndPr>
      <w:rPr>
        <w:noProof/>
      </w:rPr>
    </w:sdtEndPr>
    <w:sdtContent>
      <w:p w14:paraId="763F1945" w14:textId="77777777"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14:paraId="6DB9661F"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1C8CD" w14:textId="77777777" w:rsidR="002D6952" w:rsidRDefault="002D6952">
      <w:pPr>
        <w:spacing w:after="0" w:line="240" w:lineRule="auto"/>
      </w:pPr>
      <w:r>
        <w:separator/>
      </w:r>
    </w:p>
  </w:footnote>
  <w:footnote w:type="continuationSeparator" w:id="0">
    <w:p w14:paraId="1548519F"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000000"/>
        <w:sz w:val="24"/>
        <w:szCs w:val="24"/>
      </w:rPr>
      <w:id w:val="-1246332608"/>
      <w:docPartObj>
        <w:docPartGallery w:val="Watermarks"/>
        <w:docPartUnique/>
      </w:docPartObj>
    </w:sdtPr>
    <w:sdtEndPr/>
    <w:sdtContent>
      <w:p w14:paraId="0C89BAEE" w14:textId="77777777" w:rsidR="002D6952" w:rsidRDefault="003739DB">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3018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808BE1B"/>
    <w:multiLevelType w:val="singleLevel"/>
    <w:tmpl w:val="AB68C1D6"/>
    <w:lvl w:ilvl="0">
      <w:numFmt w:val="decimal"/>
      <w:lvlText w:val="•"/>
      <w:lvlJc w:val="left"/>
    </w:lvl>
  </w:abstractNum>
  <w:abstractNum w:abstractNumId="62" w15:restartNumberingAfterBreak="0">
    <w:nsid w:val="59B4D971"/>
    <w:multiLevelType w:val="singleLevel"/>
    <w:tmpl w:val="DA62EF7A"/>
    <w:lvl w:ilvl="0">
      <w:numFmt w:val="decimal"/>
      <w:lvlText w:val="•"/>
      <w:lvlJc w:val="left"/>
    </w:lvl>
  </w:abstractNum>
  <w:abstractNum w:abstractNumId="63" w15:restartNumberingAfterBreak="0">
    <w:nsid w:val="5B3273FC"/>
    <w:multiLevelType w:val="singleLevel"/>
    <w:tmpl w:val="10363BBD"/>
    <w:lvl w:ilvl="0">
      <w:numFmt w:val="decimal"/>
      <w:lvlText w:val="•"/>
      <w:lvlJc w:val="left"/>
    </w:lvl>
  </w:abstractNum>
  <w:abstractNum w:abstractNumId="64" w15:restartNumberingAfterBreak="0">
    <w:nsid w:val="5D6BDE1E"/>
    <w:multiLevelType w:val="singleLevel"/>
    <w:tmpl w:val="2741F90F"/>
    <w:lvl w:ilvl="0">
      <w:numFmt w:val="decimal"/>
      <w:lvlText w:val=" "/>
      <w:lvlJc w:val="left"/>
    </w:lvl>
  </w:abstractNum>
  <w:abstractNum w:abstractNumId="65" w15:restartNumberingAfterBreak="0">
    <w:nsid w:val="5D9DCEB4"/>
    <w:multiLevelType w:val="singleLevel"/>
    <w:tmpl w:val="D3F5DEB0"/>
    <w:lvl w:ilvl="0">
      <w:numFmt w:val="decimal"/>
      <w:lvlText w:val=" "/>
      <w:lvlJc w:val="left"/>
    </w:lvl>
  </w:abstractNum>
  <w:abstractNum w:abstractNumId="66" w15:restartNumberingAfterBreak="0">
    <w:nsid w:val="5E61A8F7"/>
    <w:multiLevelType w:val="singleLevel"/>
    <w:tmpl w:val="7EF5FF78"/>
    <w:lvl w:ilvl="0">
      <w:numFmt w:val="decimal"/>
      <w:lvlText w:val="•"/>
      <w:lvlJc w:val="left"/>
    </w:lvl>
  </w:abstractNum>
  <w:abstractNum w:abstractNumId="67" w15:restartNumberingAfterBreak="0">
    <w:nsid w:val="5F760D46"/>
    <w:multiLevelType w:val="singleLevel"/>
    <w:tmpl w:val="4F48C96C"/>
    <w:lvl w:ilvl="0">
      <w:numFmt w:val="decimal"/>
      <w:lvlText w:val=" "/>
      <w:lvlJc w:val="left"/>
    </w:lvl>
  </w:abstractNum>
  <w:abstractNum w:abstractNumId="68" w15:restartNumberingAfterBreak="0">
    <w:nsid w:val="613CB008"/>
    <w:multiLevelType w:val="singleLevel"/>
    <w:tmpl w:val="9BDE3009"/>
    <w:lvl w:ilvl="0">
      <w:numFmt w:val="decimal"/>
      <w:lvlText w:val=" "/>
      <w:lvlJc w:val="left"/>
    </w:lvl>
  </w:abstractNum>
  <w:abstractNum w:abstractNumId="69" w15:restartNumberingAfterBreak="0">
    <w:nsid w:val="64EF0A98"/>
    <w:multiLevelType w:val="singleLevel"/>
    <w:tmpl w:val="D809AEC3"/>
    <w:lvl w:ilvl="0">
      <w:numFmt w:val="decimal"/>
      <w:lvlText w:val="•"/>
      <w:lvlJc w:val="left"/>
    </w:lvl>
  </w:abstractNum>
  <w:abstractNum w:abstractNumId="70"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6357B"/>
    <w:multiLevelType w:val="singleLevel"/>
    <w:tmpl w:val="DB237B1D"/>
    <w:lvl w:ilvl="0">
      <w:numFmt w:val="decimal"/>
      <w:lvlText w:val="•"/>
      <w:lvlJc w:val="left"/>
    </w:lvl>
  </w:abstractNum>
  <w:abstractNum w:abstractNumId="72" w15:restartNumberingAfterBreak="0">
    <w:nsid w:val="692B33CC"/>
    <w:multiLevelType w:val="singleLevel"/>
    <w:tmpl w:val="7E6AA8C6"/>
    <w:lvl w:ilvl="0">
      <w:numFmt w:val="decimal"/>
      <w:lvlText w:val="•"/>
      <w:lvlJc w:val="left"/>
    </w:lvl>
  </w:abstractNum>
  <w:abstractNum w:abstractNumId="73" w15:restartNumberingAfterBreak="0">
    <w:nsid w:val="693A6C42"/>
    <w:multiLevelType w:val="singleLevel"/>
    <w:tmpl w:val="DABB4A42"/>
    <w:lvl w:ilvl="0">
      <w:numFmt w:val="decimal"/>
      <w:lvlText w:val=" "/>
      <w:lvlJc w:val="left"/>
    </w:lvl>
  </w:abstractNum>
  <w:abstractNum w:abstractNumId="74" w15:restartNumberingAfterBreak="0">
    <w:nsid w:val="6AC65CA3"/>
    <w:multiLevelType w:val="singleLevel"/>
    <w:tmpl w:val="512539AB"/>
    <w:lvl w:ilvl="0">
      <w:numFmt w:val="decimal"/>
      <w:lvlText w:val=" "/>
      <w:lvlJc w:val="left"/>
    </w:lvl>
  </w:abstractNum>
  <w:abstractNum w:abstractNumId="75" w15:restartNumberingAfterBreak="0">
    <w:nsid w:val="6B2BE3F9"/>
    <w:multiLevelType w:val="singleLevel"/>
    <w:tmpl w:val="7447DB4C"/>
    <w:lvl w:ilvl="0">
      <w:numFmt w:val="decimal"/>
      <w:lvlText w:val="•"/>
      <w:lvlJc w:val="left"/>
    </w:lvl>
  </w:abstractNum>
  <w:abstractNum w:abstractNumId="76" w15:restartNumberingAfterBreak="0">
    <w:nsid w:val="6C9FF7F2"/>
    <w:multiLevelType w:val="singleLevel"/>
    <w:tmpl w:val="88B0ECFD"/>
    <w:lvl w:ilvl="0">
      <w:numFmt w:val="decimal"/>
      <w:lvlText w:val=" "/>
      <w:lvlJc w:val="left"/>
    </w:lvl>
  </w:abstractNum>
  <w:abstractNum w:abstractNumId="77" w15:restartNumberingAfterBreak="0">
    <w:nsid w:val="6F129A1B"/>
    <w:multiLevelType w:val="singleLevel"/>
    <w:tmpl w:val="89FA9CE1"/>
    <w:lvl w:ilvl="0">
      <w:numFmt w:val="decimal"/>
      <w:lvlText w:val="•"/>
      <w:lvlJc w:val="left"/>
    </w:lvl>
  </w:abstractNum>
  <w:abstractNum w:abstractNumId="78" w15:restartNumberingAfterBreak="0">
    <w:nsid w:val="70511635"/>
    <w:multiLevelType w:val="singleLevel"/>
    <w:tmpl w:val="36EB7A82"/>
    <w:lvl w:ilvl="0">
      <w:numFmt w:val="decimal"/>
      <w:lvlText w:val="•"/>
      <w:lvlJc w:val="left"/>
    </w:lvl>
  </w:abstractNum>
  <w:abstractNum w:abstractNumId="79" w15:restartNumberingAfterBreak="0">
    <w:nsid w:val="72A90DB4"/>
    <w:multiLevelType w:val="singleLevel"/>
    <w:tmpl w:val="3CC8A2C7"/>
    <w:lvl w:ilvl="0">
      <w:numFmt w:val="decimal"/>
      <w:lvlText w:val="•"/>
      <w:lvlJc w:val="left"/>
    </w:lvl>
  </w:abstractNum>
  <w:abstractNum w:abstractNumId="80" w15:restartNumberingAfterBreak="0">
    <w:nsid w:val="7993B6B2"/>
    <w:multiLevelType w:val="singleLevel"/>
    <w:tmpl w:val="17D58C35"/>
    <w:lvl w:ilvl="0">
      <w:numFmt w:val="decimal"/>
      <w:lvlText w:val="•"/>
      <w:lvlJc w:val="left"/>
    </w:lvl>
  </w:abstractNum>
  <w:abstractNum w:abstractNumId="81" w15:restartNumberingAfterBreak="0">
    <w:nsid w:val="7AF563B6"/>
    <w:multiLevelType w:val="singleLevel"/>
    <w:tmpl w:val="AF158AC9"/>
    <w:lvl w:ilvl="0">
      <w:numFmt w:val="decimal"/>
      <w:lvlText w:val=" "/>
      <w:lvlJc w:val="left"/>
    </w:lvl>
  </w:abstractNum>
  <w:abstractNum w:abstractNumId="82" w15:restartNumberingAfterBreak="0">
    <w:nsid w:val="7EB9154E"/>
    <w:multiLevelType w:val="singleLevel"/>
    <w:tmpl w:val="B342567C"/>
    <w:lvl w:ilvl="0">
      <w:numFmt w:val="decimal"/>
      <w:lvlText w:val=" "/>
      <w:lvlJc w:val="left"/>
    </w:lvl>
  </w:abstractNum>
  <w:abstractNum w:abstractNumId="83" w15:restartNumberingAfterBreak="0">
    <w:nsid w:val="7EE65810"/>
    <w:multiLevelType w:val="singleLevel"/>
    <w:tmpl w:val="5B66065C"/>
    <w:lvl w:ilvl="0">
      <w:numFmt w:val="decimal"/>
      <w:lvlText w:val=" "/>
      <w:lvlJc w:val="left"/>
    </w:lvl>
  </w:abstractNum>
  <w:num w:numId="1">
    <w:abstractNumId w:val="75"/>
  </w:num>
  <w:num w:numId="2">
    <w:abstractNumId w:val="5"/>
  </w:num>
  <w:num w:numId="3">
    <w:abstractNumId w:val="77"/>
  </w:num>
  <w:num w:numId="4">
    <w:abstractNumId w:val="46"/>
  </w:num>
  <w:num w:numId="5">
    <w:abstractNumId w:val="78"/>
  </w:num>
  <w:num w:numId="6">
    <w:abstractNumId w:val="43"/>
  </w:num>
  <w:num w:numId="7">
    <w:abstractNumId w:val="66"/>
  </w:num>
  <w:num w:numId="8">
    <w:abstractNumId w:val="59"/>
  </w:num>
  <w:num w:numId="9">
    <w:abstractNumId w:val="11"/>
  </w:num>
  <w:num w:numId="10">
    <w:abstractNumId w:val="81"/>
  </w:num>
  <w:num w:numId="11">
    <w:abstractNumId w:val="17"/>
  </w:num>
  <w:num w:numId="12">
    <w:abstractNumId w:val="29"/>
  </w:num>
  <w:num w:numId="13">
    <w:abstractNumId w:val="79"/>
  </w:num>
  <w:num w:numId="14">
    <w:abstractNumId w:val="31"/>
  </w:num>
  <w:num w:numId="15">
    <w:abstractNumId w:val="80"/>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2"/>
  </w:num>
  <w:num w:numId="46">
    <w:abstractNumId w:val="64"/>
  </w:num>
  <w:num w:numId="47">
    <w:abstractNumId w:val="7"/>
  </w:num>
  <w:num w:numId="48">
    <w:abstractNumId w:val="67"/>
  </w:num>
  <w:num w:numId="49">
    <w:abstractNumId w:val="57"/>
  </w:num>
  <w:num w:numId="50">
    <w:abstractNumId w:val="9"/>
  </w:num>
  <w:num w:numId="51">
    <w:abstractNumId w:val="25"/>
  </w:num>
  <w:num w:numId="52">
    <w:abstractNumId w:val="73"/>
  </w:num>
  <w:num w:numId="53">
    <w:abstractNumId w:val="20"/>
  </w:num>
  <w:num w:numId="54">
    <w:abstractNumId w:val="76"/>
  </w:num>
  <w:num w:numId="55">
    <w:abstractNumId w:val="71"/>
  </w:num>
  <w:num w:numId="56">
    <w:abstractNumId w:val="24"/>
  </w:num>
  <w:num w:numId="57">
    <w:abstractNumId w:val="72"/>
  </w:num>
  <w:num w:numId="58">
    <w:abstractNumId w:val="68"/>
  </w:num>
  <w:num w:numId="59">
    <w:abstractNumId w:val="61"/>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2"/>
  </w:num>
  <w:num w:numId="67">
    <w:abstractNumId w:val="63"/>
  </w:num>
  <w:num w:numId="68">
    <w:abstractNumId w:val="35"/>
  </w:num>
  <w:num w:numId="69">
    <w:abstractNumId w:val="37"/>
  </w:num>
  <w:num w:numId="70">
    <w:abstractNumId w:val="74"/>
  </w:num>
  <w:num w:numId="71">
    <w:abstractNumId w:val="33"/>
  </w:num>
  <w:num w:numId="72">
    <w:abstractNumId w:val="50"/>
  </w:num>
  <w:num w:numId="73">
    <w:abstractNumId w:val="27"/>
  </w:num>
  <w:num w:numId="74">
    <w:abstractNumId w:val="83"/>
  </w:num>
  <w:num w:numId="75">
    <w:abstractNumId w:val="30"/>
  </w:num>
  <w:num w:numId="76">
    <w:abstractNumId w:val="12"/>
  </w:num>
  <w:num w:numId="77">
    <w:abstractNumId w:val="39"/>
  </w:num>
  <w:num w:numId="78">
    <w:abstractNumId w:val="15"/>
  </w:num>
  <w:num w:numId="79">
    <w:abstractNumId w:val="69"/>
  </w:num>
  <w:num w:numId="80">
    <w:abstractNumId w:val="65"/>
  </w:num>
  <w:num w:numId="81">
    <w:abstractNumId w:val="36"/>
  </w:num>
  <w:num w:numId="82">
    <w:abstractNumId w:val="70"/>
  </w:num>
  <w:num w:numId="83">
    <w:abstractNumId w:val="42"/>
  </w:num>
  <w:num w:numId="84">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37CFD"/>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739DB"/>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73EDC"/>
    <w:rsid w:val="004830F3"/>
    <w:rsid w:val="00487B5E"/>
    <w:rsid w:val="0049316F"/>
    <w:rsid w:val="00495C7D"/>
    <w:rsid w:val="004A5CC4"/>
    <w:rsid w:val="004A5F34"/>
    <w:rsid w:val="004B4496"/>
    <w:rsid w:val="004D13DF"/>
    <w:rsid w:val="004D74BC"/>
    <w:rsid w:val="004E2B87"/>
    <w:rsid w:val="004E2E2E"/>
    <w:rsid w:val="00511189"/>
    <w:rsid w:val="00526CA9"/>
    <w:rsid w:val="0052796E"/>
    <w:rsid w:val="00530487"/>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B6790"/>
    <w:rsid w:val="007C0075"/>
    <w:rsid w:val="007C1F1F"/>
    <w:rsid w:val="007C6E5C"/>
    <w:rsid w:val="007E3950"/>
    <w:rsid w:val="007E695A"/>
    <w:rsid w:val="00827BD3"/>
    <w:rsid w:val="00855ADA"/>
    <w:rsid w:val="008B2D88"/>
    <w:rsid w:val="008B56CE"/>
    <w:rsid w:val="008C3CF1"/>
    <w:rsid w:val="00904CBE"/>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C66BA"/>
    <w:rsid w:val="00DD26C4"/>
    <w:rsid w:val="00DD4310"/>
    <w:rsid w:val="00DD56B1"/>
    <w:rsid w:val="00DE147D"/>
    <w:rsid w:val="00DF07FC"/>
    <w:rsid w:val="00E27355"/>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00006"/>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566-7001-43F5-9FBD-419F4BC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2886</Words>
  <Characters>16451</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2021-01-27T14:11:00Z</dcterms:created>
  <dcterms:modified xsi:type="dcterms:W3CDTF">2021-01-27T14:11:00Z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180968410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