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B54C20">
        <w:rPr>
          <w:rFonts w:ascii="Arial" w:hAnsi="Arial" w:cs="Arial"/>
          <w:b/>
        </w:rPr>
        <w:t>20</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Other Post Employment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w:t>
      </w:r>
      <w:r w:rsidR="00EE45ED">
        <w:rPr>
          <w:rFonts w:ascii="ArialMT" w:hAnsi="ArialMT" w:cs="ArialMT"/>
        </w:rPr>
        <w:t xml:space="preserve">. Effective August 1, 2019 the benefit may be used for any eligible health, prescription drug plan, dental, vision, or long term care plan premium expense.  </w:t>
      </w:r>
      <w:r>
        <w:rPr>
          <w:rFonts w:ascii="ArialMT" w:hAnsi="ArialMT" w:cs="ArialMT"/>
        </w:rPr>
        <w:t>The Retiree Health Insurance Credit Fund is advance-funded on an actuarially determined basis.</w:t>
      </w:r>
    </w:p>
    <w:p w:rsidR="005D4D1C" w:rsidRPr="00FC7863" w:rsidRDefault="005D4D1C" w:rsidP="005D4D1C">
      <w:pPr>
        <w:pStyle w:val="B3NotesSubHeading"/>
        <w:jc w:val="both"/>
        <w:rPr>
          <w:rFonts w:ascii="Arial" w:hAnsi="Arial" w:cs="Arial"/>
          <w:b w:val="0"/>
          <w:szCs w:val="22"/>
        </w:rPr>
      </w:pPr>
    </w:p>
    <w:p w:rsidR="00EE45ED" w:rsidRDefault="00A4308A" w:rsidP="00EE45ED">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rsidR="009B0062" w:rsidRDefault="005D4D1C" w:rsidP="00EE45ED">
      <w:pPr>
        <w:pStyle w:val="B3NotesSubHeading"/>
        <w:jc w:val="both"/>
        <w:rPr>
          <w:rFonts w:ascii="Arial" w:hAnsi="Arial" w:cs="Arial"/>
          <w:szCs w:val="22"/>
        </w:rPr>
      </w:pPr>
      <w:r w:rsidRPr="005D4D1C">
        <w:rPr>
          <w:rFonts w:ascii="Arial" w:hAnsi="Arial" w:cs="Arial"/>
          <w:szCs w:val="22"/>
        </w:rPr>
        <w:lastRenderedPageBreak/>
        <w:t>OPEB Benefits</w:t>
      </w:r>
    </w:p>
    <w:p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The employer contribution for employees of the state board of career and technical education is 2.99% of covered compensation for a period of eight years ending October 1, 2015.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r w:rsidR="00B54C20">
        <w:rPr>
          <w:rFonts w:ascii="ArialMT" w:hAnsi="ArialMT" w:cs="ArialMT"/>
        </w:rPr>
        <w:t xml:space="preserve">  </w:t>
      </w:r>
      <w:r w:rsidR="00B54C20" w:rsidRPr="00B54C20">
        <w:rPr>
          <w:rFonts w:ascii="ArialMT" w:hAnsi="ArialMT" w:cs="ArialMT"/>
        </w:rPr>
        <w:t>Beginning January 1, 2020, members first enrolled in the NDPERS Main System and the Defined Contribution Plan on or after that date will not be eligible to participate in RHIC. Therefore, RHIC will become for the most part a closed plan. There were no other benefit changes during the year.</w:t>
      </w:r>
    </w:p>
    <w:p w:rsidR="005D4D1C" w:rsidRDefault="005D4D1C" w:rsidP="005D4D1C">
      <w:pPr>
        <w:autoSpaceDE w:val="0"/>
        <w:autoSpaceDN w:val="0"/>
        <w:adjustRightInd w:val="0"/>
        <w:spacing w:after="0" w:line="240" w:lineRule="auto"/>
        <w:rPr>
          <w:rFonts w:ascii="ArialMT" w:hAnsi="ArialMT" w:cs="ArialMT"/>
        </w:rPr>
      </w:pPr>
    </w:p>
    <w:p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rsidR="005D4D1C" w:rsidRDefault="005D4D1C" w:rsidP="005D4D1C">
      <w:pPr>
        <w:autoSpaceDE w:val="0"/>
        <w:autoSpaceDN w:val="0"/>
        <w:adjustRightInd w:val="0"/>
        <w:spacing w:after="0" w:line="240" w:lineRule="auto"/>
        <w:rPr>
          <w:rFonts w:ascii="ArialMT" w:hAnsi="ArialMT" w:cs="ArialMT"/>
        </w:rPr>
      </w:pPr>
    </w:p>
    <w:p w:rsidR="005D4D1C" w:rsidRPr="005D4D1C" w:rsidRDefault="005D4D1C" w:rsidP="00B54C20">
      <w:pPr>
        <w:autoSpaceDE w:val="0"/>
        <w:autoSpaceDN w:val="0"/>
        <w:adjustRightInd w:val="0"/>
        <w:spacing w:after="0" w:line="240" w:lineRule="auto"/>
        <w:rPr>
          <w:rFonts w:ascii="ArialMT" w:hAnsi="ArialMT" w:cs="ArialMT"/>
        </w:rPr>
      </w:pPr>
      <w:r>
        <w:rPr>
          <w:rFonts w:ascii="ArialMT" w:hAnsi="ArialMT" w:cs="ArialMT"/>
        </w:rPr>
        <w:t xml:space="preserve">Effective July 1, 2015, the credit is also available to apply towards monthly premiums under the state dental, vision and long-term care plan and any other health insurance plan. </w:t>
      </w:r>
      <w:r w:rsidR="00B54C20">
        <w:rPr>
          <w:rFonts w:ascii="ArialMT" w:hAnsi="ArialMT" w:cs="ArialMT"/>
        </w:rPr>
        <w:t>Effective August 1, 2019 the benefit may be used for any eligible health, prescription drug plan, dental, vision, or long term care plan premium expense.  T</w:t>
      </w:r>
      <w:r>
        <w:rPr>
          <w:rFonts w:ascii="ArialMT" w:hAnsi="ArialMT" w:cs="ArialMT"/>
        </w:rPr>
        <w:t>he benefits are equal to $5.00 for each of the employee’s, or deceased employee's years of credited service not to exceed the premium in effect for selected coverage. The retiree health insurance credit is also available for early retirement with reduced benefits.</w:t>
      </w: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Default="00F61E87"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p>
    <w:p w:rsidR="00B54C20" w:rsidRPr="00FC7863" w:rsidRDefault="00B54C20"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54C20">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w:t>
            </w:r>
            <w:r w:rsidR="00B54C20">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B54C20">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B54C20">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B54C20">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201</w:t>
      </w:r>
      <w:r w:rsidR="00214C5A">
        <w:rPr>
          <w:rFonts w:ascii="Arial" w:hAnsi="Arial" w:cs="Arial"/>
        </w:rPr>
        <w:t>9</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.5</w:t>
            </w:r>
            <w:r w:rsidR="00EB05EE" w:rsidRPr="00E27355">
              <w:rPr>
                <w:rFonts w:ascii="Arial" w:hAnsi="Arial" w:cs="Arial"/>
                <w:sz w:val="22"/>
                <w:szCs w:val="22"/>
              </w:rPr>
              <w:t xml:space="preserve">0% </w:t>
            </w:r>
          </w:p>
          <w:p w:rsidR="003207EB" w:rsidRPr="00E27355" w:rsidRDefault="003207EB">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EB05EE" w:rsidRDefault="00955EE5" w:rsidP="003207EB">
            <w:pPr>
              <w:pStyle w:val="Default"/>
              <w:rPr>
                <w:rFonts w:ascii="ArialMT" w:hAnsi="ArialMT" w:cs="ArialMT"/>
                <w:sz w:val="18"/>
                <w:szCs w:val="18"/>
              </w:rPr>
            </w:pPr>
            <w:r>
              <w:rPr>
                <w:rFonts w:ascii="ArialMT" w:hAnsi="ArialMT" w:cs="ArialMT"/>
                <w:sz w:val="18"/>
                <w:szCs w:val="18"/>
              </w:rPr>
              <w:t>Not applicable</w:t>
            </w:r>
          </w:p>
          <w:p w:rsidR="003207EB" w:rsidRPr="00E27355" w:rsidRDefault="003207EB" w:rsidP="003207EB">
            <w:pPr>
              <w:pStyle w:val="Default"/>
              <w:rPr>
                <w:rFonts w:ascii="Arial" w:hAnsi="Arial" w:cs="Arial"/>
                <w:color w:val="000000" w:themeColor="text1"/>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EB05EE" w:rsidRDefault="003207EB">
            <w:pPr>
              <w:pStyle w:val="Default"/>
              <w:rPr>
                <w:rFonts w:ascii="Arial" w:hAnsi="Arial" w:cs="Arial"/>
                <w:sz w:val="22"/>
                <w:szCs w:val="22"/>
              </w:rPr>
            </w:pPr>
            <w:r>
              <w:rPr>
                <w:rFonts w:ascii="Arial" w:hAnsi="Arial" w:cs="Arial"/>
                <w:sz w:val="22"/>
                <w:szCs w:val="22"/>
              </w:rPr>
              <w:t>7.</w:t>
            </w:r>
            <w:r w:rsidR="00B54C20">
              <w:rPr>
                <w:rFonts w:ascii="Arial" w:hAnsi="Arial" w:cs="Arial"/>
                <w:sz w:val="22"/>
                <w:szCs w:val="22"/>
              </w:rPr>
              <w:t>25</w:t>
            </w:r>
            <w:r w:rsidR="00EB05EE" w:rsidRPr="00E27355">
              <w:rPr>
                <w:rFonts w:ascii="Arial" w:hAnsi="Arial" w:cs="Arial"/>
                <w:sz w:val="22"/>
                <w:szCs w:val="22"/>
              </w:rPr>
              <w:t xml:space="preserve">%, net of investment expenses </w:t>
            </w:r>
          </w:p>
          <w:p w:rsidR="00955EE5" w:rsidRPr="00E27355" w:rsidRDefault="00955EE5">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201</w:t>
      </w:r>
      <w:r w:rsidR="00214C5A">
        <w:rPr>
          <w:rFonts w:ascii="ArialMT" w:hAnsi="ArialMT" w:cs="ArialMT"/>
        </w:rPr>
        <w:t>9</w:t>
      </w:r>
      <w:r>
        <w:rPr>
          <w:rFonts w:ascii="ArialMT" w:hAnsi="ArialMT" w:cs="ArialMT"/>
        </w:rPr>
        <w:t xml:space="preserve"> are summarized in the following table:</w:t>
      </w:r>
    </w:p>
    <w:p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92"/>
        <w:gridCol w:w="3192"/>
        <w:gridCol w:w="3192"/>
      </w:tblGrid>
      <w:tr w:rsidR="000F49B3" w:rsidTr="00B54C20">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B54C20">
        <w:tc>
          <w:tcPr>
            <w:tcW w:w="3192" w:type="dxa"/>
          </w:tcPr>
          <w:p w:rsidR="000F49B3"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Large Cap </w:t>
            </w:r>
            <w:r w:rsidR="005D5AD2">
              <w:rPr>
                <w:rFonts w:ascii="Arial" w:hAnsi="Arial" w:cs="Arial"/>
                <w:color w:val="252525"/>
              </w:rPr>
              <w:t>Domestic Equities</w:t>
            </w:r>
          </w:p>
        </w:tc>
        <w:tc>
          <w:tcPr>
            <w:tcW w:w="3192" w:type="dxa"/>
          </w:tcPr>
          <w:p w:rsidR="000F49B3"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33%</w:t>
            </w:r>
          </w:p>
        </w:tc>
        <w:tc>
          <w:tcPr>
            <w:tcW w:w="3192" w:type="dxa"/>
          </w:tcPr>
          <w:p w:rsidR="000F49B3"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6.00%</w:t>
            </w:r>
          </w:p>
        </w:tc>
      </w:tr>
      <w:tr w:rsidR="00B54C20" w:rsidTr="00B54C20">
        <w:tc>
          <w:tcPr>
            <w:tcW w:w="3192" w:type="dxa"/>
          </w:tcPr>
          <w:p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6</w:t>
            </w:r>
            <w:r w:rsidR="00B54C20">
              <w:rPr>
                <w:rFonts w:ascii="Arial" w:hAnsi="Arial" w:cs="Arial"/>
                <w:color w:val="252525"/>
              </w:rPr>
              <w:t>%</w:t>
            </w:r>
          </w:p>
        </w:tc>
        <w:tc>
          <w:tcPr>
            <w:tcW w:w="3192" w:type="dxa"/>
          </w:tcPr>
          <w:p w:rsidR="00B54C20" w:rsidRDefault="00B54C20" w:rsidP="00B54C20">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214C5A">
              <w:rPr>
                <w:rFonts w:ascii="Arial" w:hAnsi="Arial" w:cs="Arial"/>
                <w:color w:val="252525"/>
              </w:rPr>
              <w:t>7.30</w:t>
            </w:r>
            <w:r>
              <w:rPr>
                <w:rFonts w:ascii="Arial" w:hAnsi="Arial" w:cs="Arial"/>
                <w:color w:val="252525"/>
              </w:rPr>
              <w:t>%</w:t>
            </w:r>
          </w:p>
        </w:tc>
      </w:tr>
      <w:tr w:rsidR="00B54C20" w:rsidTr="00B54C20">
        <w:tc>
          <w:tcPr>
            <w:tcW w:w="3192" w:type="dxa"/>
          </w:tcPr>
          <w:p w:rsidR="00B54C20" w:rsidRDefault="00B54C20"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B54C20" w:rsidRDefault="00B54C20"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40%</w:t>
            </w:r>
          </w:p>
        </w:tc>
        <w:tc>
          <w:tcPr>
            <w:tcW w:w="3192" w:type="dxa"/>
          </w:tcPr>
          <w:p w:rsidR="00B54C20" w:rsidRDefault="00B54C20"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214C5A">
              <w:rPr>
                <w:rFonts w:ascii="Arial" w:hAnsi="Arial" w:cs="Arial"/>
                <w:color w:val="252525"/>
              </w:rPr>
              <w:t>2.07</w:t>
            </w:r>
            <w:r>
              <w:rPr>
                <w:rFonts w:ascii="Arial" w:hAnsi="Arial" w:cs="Arial"/>
                <w:color w:val="252525"/>
              </w:rPr>
              <w:t>%</w:t>
            </w:r>
          </w:p>
        </w:tc>
      </w:tr>
      <w:tr w:rsidR="00B54C20" w:rsidTr="00B54C20">
        <w:tc>
          <w:tcPr>
            <w:tcW w:w="3192" w:type="dxa"/>
          </w:tcPr>
          <w:p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p>
        </w:tc>
        <w:tc>
          <w:tcPr>
            <w:tcW w:w="3192" w:type="dxa"/>
          </w:tcPr>
          <w:p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6.95%</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5557E2" w:rsidRPr="005557E2" w:rsidRDefault="00F61E87" w:rsidP="005557E2">
      <w:pPr>
        <w:autoSpaceDE w:val="0"/>
        <w:autoSpaceDN w:val="0"/>
        <w:adjustRightInd w:val="0"/>
        <w:spacing w:after="0" w:line="240" w:lineRule="auto"/>
        <w:rPr>
          <w:rFonts w:ascii="ArialMT" w:hAnsi="ArialMT" w:cs="ArialMT"/>
        </w:rPr>
      </w:pPr>
      <w:r w:rsidRPr="00EE45ED">
        <w:rPr>
          <w:rFonts w:ascii="Arial" w:hAnsi="Arial" w:cs="Arial"/>
          <w:b/>
          <w:i/>
          <w:iCs/>
          <w:color w:val="252525"/>
        </w:rPr>
        <w:t>Discount rate</w:t>
      </w:r>
      <w:r w:rsidRPr="00EE45ED">
        <w:rPr>
          <w:rFonts w:ascii="Arial" w:hAnsi="Arial" w:cs="Arial"/>
          <w:b/>
          <w:color w:val="252525"/>
        </w:rPr>
        <w:t xml:space="preserve">. </w:t>
      </w:r>
      <w:r w:rsidR="005557E2" w:rsidRPr="00EE45ED">
        <w:rPr>
          <w:rFonts w:ascii="ArialMT" w:hAnsi="ArialMT" w:cs="ArialMT"/>
        </w:rPr>
        <w:t xml:space="preserve">The discount rate used to measure the </w:t>
      </w:r>
      <w:r w:rsidR="008F070B" w:rsidRPr="00EE45ED">
        <w:rPr>
          <w:rFonts w:ascii="ArialMT" w:hAnsi="ArialMT" w:cs="ArialMT"/>
        </w:rPr>
        <w:t>total OPEB liability was 7.</w:t>
      </w:r>
      <w:r w:rsidR="00EE45ED" w:rsidRPr="00EE45ED">
        <w:rPr>
          <w:rFonts w:ascii="ArialMT" w:hAnsi="ArialMT" w:cs="ArialMT"/>
        </w:rPr>
        <w:t>2</w:t>
      </w:r>
      <w:r w:rsidR="008F070B" w:rsidRPr="00EE45ED">
        <w:rPr>
          <w:rFonts w:ascii="ArialMT" w:hAnsi="ArialMT" w:cs="ArialMT"/>
        </w:rPr>
        <w:t>5</w:t>
      </w:r>
      <w:r w:rsidR="005557E2" w:rsidRPr="00EE45ED">
        <w:rPr>
          <w:rFonts w:ascii="ArialMT" w:hAnsi="ArialMT" w:cs="ArialMT"/>
        </w:rPr>
        <w:t>%. The projection of cash flows used to determine the</w:t>
      </w:r>
      <w:r w:rsidR="005557E2">
        <w:rPr>
          <w:rFonts w:ascii="ArialMT" w:hAnsi="ArialMT" w:cs="ArialMT"/>
        </w:rPr>
        <w:t xml:space="preserve"> discount rate assumed plan member and statutory/Board approved employer contributions will be made at rates equal to those based on the July 1, 201</w:t>
      </w:r>
      <w:r w:rsidR="005B4B25">
        <w:rPr>
          <w:rFonts w:ascii="ArialMT" w:hAnsi="ArialMT" w:cs="ArialMT"/>
        </w:rPr>
        <w:t>8</w:t>
      </w:r>
      <w:r w:rsidR="005557E2">
        <w:rPr>
          <w:rFonts w:ascii="ArialMT" w:hAnsi="ArialMT" w:cs="ArialMT"/>
        </w:rPr>
        <w:t>, and July 1, 201</w:t>
      </w:r>
      <w:r w:rsidR="005B4B25">
        <w:rPr>
          <w:rFonts w:ascii="ArialMT" w:hAnsi="ArialMT" w:cs="ArialMT"/>
        </w:rPr>
        <w:t>7</w:t>
      </w:r>
      <w:r w:rsidR="005557E2">
        <w:rPr>
          <w:rFonts w:ascii="ArialMT" w:hAnsi="ArialMT" w:cs="ArialMT"/>
        </w:rPr>
        <w:t>, HPRS actuarial valuation reports. For this purpose, only employer contributions that are intended to fund benefits of current RHIC members and their beneficiaries are included. Projected employer contributions that are intended to fund the service costs of future plan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rsidR="002A7845" w:rsidRDefault="00F61E87" w:rsidP="00231F49">
      <w:pPr>
        <w:autoSpaceDE w:val="0"/>
        <w:autoSpaceDN w:val="0"/>
        <w:adjustRightInd w:val="0"/>
        <w:spacing w:after="0" w:line="240" w:lineRule="auto"/>
        <w:rPr>
          <w:rFonts w:ascii="Arial" w:hAnsi="Arial" w:cs="Arial"/>
          <w:b/>
          <w:i/>
          <w:color w:val="000000" w:themeColor="text1"/>
          <w:sz w:val="20"/>
          <w:szCs w:val="20"/>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rsidR="007E732C" w:rsidRPr="00231F49" w:rsidRDefault="007E732C" w:rsidP="00231F49">
      <w:pPr>
        <w:autoSpaceDE w:val="0"/>
        <w:autoSpaceDN w:val="0"/>
        <w:adjustRightInd w:val="0"/>
        <w:spacing w:after="0" w:line="240" w:lineRule="auto"/>
        <w:rPr>
          <w:rFonts w:ascii="ArialMT" w:hAnsi="ArialMT" w:cs="ArialMT"/>
        </w:rPr>
      </w:pP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201</w:t>
      </w:r>
      <w:r w:rsidR="00EE45ED">
        <w:rPr>
          <w:rFonts w:ascii="ArialMT" w:hAnsi="ArialMT" w:cs="ArialMT"/>
        </w:rPr>
        <w:t xml:space="preserve">9, </w:t>
      </w:r>
      <w:r w:rsidR="005557E2">
        <w:rPr>
          <w:rFonts w:ascii="ArialMT" w:hAnsi="ArialMT" w:cs="ArialMT"/>
        </w:rPr>
        <w:t>calculated using the discount rate of 7.</w:t>
      </w:r>
      <w:r w:rsidR="00EE45ED">
        <w:rPr>
          <w:rFonts w:ascii="ArialMT" w:hAnsi="ArialMT" w:cs="ArialMT"/>
        </w:rPr>
        <w:t>25</w:t>
      </w:r>
      <w:r w:rsidR="005557E2">
        <w:rPr>
          <w:rFonts w:ascii="ArialMT" w:hAnsi="ArialMT" w:cs="ArialMT"/>
        </w:rPr>
        <w:t>%, as well as what the RHIC net OPEB liability would be if it were calculated using a discount rate that is 1-percentage-point lower (6.</w:t>
      </w:r>
      <w:r w:rsidR="00EE45ED">
        <w:rPr>
          <w:rFonts w:ascii="ArialMT" w:hAnsi="ArialMT" w:cs="ArialMT"/>
        </w:rPr>
        <w:t>2</w:t>
      </w:r>
      <w:r w:rsidR="005557E2">
        <w:rPr>
          <w:rFonts w:ascii="ArialMT" w:hAnsi="ArialMT" w:cs="ArialMT"/>
        </w:rPr>
        <w:t>5 percent) or 1-percentage-point higher (8.</w:t>
      </w:r>
      <w:r w:rsidR="00EE45ED">
        <w:rPr>
          <w:rFonts w:ascii="ArialMT" w:hAnsi="ArialMT" w:cs="ArialMT"/>
        </w:rPr>
        <w:t>2</w:t>
      </w:r>
      <w:r w:rsidR="005557E2">
        <w:rPr>
          <w:rFonts w:ascii="ArialMT" w:hAnsi="ArialMT" w:cs="ArialMT"/>
        </w:rPr>
        <w:t>5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557E2">
              <w:rPr>
                <w:rFonts w:ascii="Arial" w:hAnsi="Arial" w:cs="Arial"/>
                <w:b/>
                <w:bCs/>
                <w:color w:val="252525"/>
              </w:rPr>
              <w:t>6.</w:t>
            </w:r>
            <w:r w:rsidR="00EE45ED">
              <w:rPr>
                <w:rFonts w:ascii="Arial" w:hAnsi="Arial" w:cs="Arial"/>
                <w:b/>
                <w:bCs/>
                <w:color w:val="252525"/>
              </w:rPr>
              <w:t>2</w:t>
            </w:r>
            <w:r w:rsidR="005557E2">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557E2">
              <w:rPr>
                <w:rFonts w:ascii="Arial" w:hAnsi="Arial" w:cs="Arial"/>
                <w:b/>
                <w:bCs/>
                <w:color w:val="252525"/>
              </w:rPr>
              <w:t>7.</w:t>
            </w:r>
            <w:r w:rsidR="00EE45ED">
              <w:rPr>
                <w:rFonts w:ascii="Arial" w:hAnsi="Arial" w:cs="Arial"/>
                <w:b/>
                <w:bCs/>
                <w:color w:val="252525"/>
              </w:rPr>
              <w:t>2</w:t>
            </w:r>
            <w:r w:rsidR="005557E2">
              <w:rPr>
                <w:rFonts w:ascii="Arial" w:hAnsi="Arial" w:cs="Arial"/>
                <w:b/>
                <w:bCs/>
                <w:color w:val="252525"/>
              </w:rPr>
              <w:t>5</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557E2">
              <w:rPr>
                <w:rFonts w:ascii="Arial" w:hAnsi="Arial" w:cs="Arial"/>
                <w:b/>
                <w:bCs/>
                <w:color w:val="252525"/>
              </w:rPr>
              <w:t>8.</w:t>
            </w:r>
            <w:r w:rsidR="00EE45ED">
              <w:rPr>
                <w:rFonts w:ascii="Arial" w:hAnsi="Arial" w:cs="Arial"/>
                <w:b/>
                <w:bCs/>
                <w:color w:val="252525"/>
              </w:rPr>
              <w:t>2</w:t>
            </w:r>
            <w:r w:rsidR="005557E2">
              <w:rPr>
                <w:rFonts w:ascii="Arial" w:hAnsi="Arial" w:cs="Arial"/>
                <w:b/>
                <w:bCs/>
                <w:color w:val="252525"/>
              </w:rPr>
              <w:t>5</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EE45ED">
              <w:rPr>
                <w:rFonts w:ascii="Arial" w:hAnsi="Arial" w:cs="Arial"/>
                <w:color w:val="252525"/>
              </w:rPr>
              <w:t>20</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214C5A">
              <w:rPr>
                <w:rFonts w:ascii="Arial" w:hAnsi="Arial" w:cs="Arial"/>
                <w:color w:val="252525"/>
              </w:rPr>
              <w:t>20</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214C5A">
        <w:rPr>
          <w:rFonts w:ascii="Arial" w:hAnsi="Arial" w:cs="Arial"/>
          <w:b/>
          <w:bCs/>
          <w:color w:val="252525"/>
          <w:sz w:val="28"/>
          <w:szCs w:val="28"/>
        </w:rPr>
        <w:t>20</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Beginning January 1, 2020, members first enrolled in the NDPERS Main System and the</w:t>
      </w: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Defined Contribution Plan on or after that date will not be eligible to participate in RHIC.</w:t>
      </w: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Therefore, RHIC will become for the most part a closed plan. There have been no other</w:t>
      </w:r>
    </w:p>
    <w:p w:rsidR="002564E7" w:rsidRPr="009348EB" w:rsidRDefault="00EE45ED" w:rsidP="00EE45ED">
      <w:pPr>
        <w:widowControl w:val="0"/>
        <w:suppressAutoHyphens/>
        <w:autoSpaceDE w:val="0"/>
        <w:autoSpaceDN w:val="0"/>
        <w:adjustRightInd w:val="0"/>
        <w:spacing w:after="0" w:line="240" w:lineRule="auto"/>
        <w:rPr>
          <w:rFonts w:ascii="Arial" w:hAnsi="Arial" w:cs="Arial"/>
          <w:iCs/>
          <w:color w:val="A6A6A6" w:themeColor="background1" w:themeShade="A6"/>
        </w:rPr>
      </w:pPr>
      <w:r>
        <w:rPr>
          <w:rFonts w:ascii="ArialMT" w:hAnsi="ArialMT" w:cs="ArialMT"/>
        </w:rPr>
        <w:t>changes in plan provisions since the previous actuarial valuation as of July 1, 2018.</w:t>
      </w: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 Board approved the following changes to the actuarial assumptions beginning with the July</w:t>
      </w: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1, 2019 valuation:</w:t>
      </w:r>
    </w:p>
    <w:p w:rsidR="00EE45ED" w:rsidRDefault="00EE45ED" w:rsidP="00EE45ED">
      <w:pPr>
        <w:autoSpaceDE w:val="0"/>
        <w:autoSpaceDN w:val="0"/>
        <w:adjustRightInd w:val="0"/>
        <w:spacing w:after="0" w:line="240" w:lineRule="auto"/>
        <w:rPr>
          <w:rFonts w:ascii="ArialMT" w:hAnsi="ArialMT" w:cs="ArialMT"/>
        </w:rPr>
      </w:pPr>
    </w:p>
    <w:p w:rsidR="00EE45ED" w:rsidRDefault="00EE45ED" w:rsidP="00EE45ED">
      <w:pPr>
        <w:autoSpaceDE w:val="0"/>
        <w:autoSpaceDN w:val="0"/>
        <w:adjustRightInd w:val="0"/>
        <w:spacing w:after="0" w:line="240" w:lineRule="auto"/>
        <w:ind w:firstLine="720"/>
        <w:rPr>
          <w:rFonts w:ascii="ArialMT" w:hAnsi="ArialMT" w:cs="ArialMT"/>
        </w:rPr>
      </w:pPr>
      <w:r>
        <w:rPr>
          <w:rFonts w:ascii="ArialMT" w:hAnsi="ArialMT" w:cs="ArialMT"/>
        </w:rPr>
        <w:t>• The investment return assumption was lowered from 7.50% to 7.25%</w:t>
      </w:r>
    </w:p>
    <w:p w:rsidR="00EE45ED" w:rsidRDefault="00EE45ED" w:rsidP="00EE45ED">
      <w:pPr>
        <w:autoSpaceDE w:val="0"/>
        <w:autoSpaceDN w:val="0"/>
        <w:adjustRightInd w:val="0"/>
        <w:spacing w:after="0" w:line="240" w:lineRule="auto"/>
        <w:rPr>
          <w:rFonts w:ascii="ArialMT" w:hAnsi="ArialMT" w:cs="ArialMT"/>
        </w:rPr>
      </w:pP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All other actuarial assumptions and the actuarial cost method are unchanged from the last</w:t>
      </w:r>
    </w:p>
    <w:p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actuarial valuation as of July 1, 2018.</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B54C20">
      <w:headerReference w:type="default" r:id="rId8"/>
      <w:footerReference w:type="default" r:id="rId9"/>
      <w:pgSz w:w="12240" w:h="15840"/>
      <w:pgMar w:top="432" w:right="1440" w:bottom="1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EB" w:rsidRDefault="003207EB">
      <w:pPr>
        <w:spacing w:after="0" w:line="240" w:lineRule="auto"/>
      </w:pPr>
      <w:r>
        <w:separator/>
      </w:r>
    </w:p>
  </w:endnote>
  <w:endnote w:type="continuationSeparator" w:id="0">
    <w:p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EB" w:rsidRDefault="003207EB">
      <w:pPr>
        <w:spacing w:after="0" w:line="240" w:lineRule="auto"/>
      </w:pPr>
      <w:r>
        <w:separator/>
      </w:r>
    </w:p>
  </w:footnote>
  <w:footnote w:type="continuationSeparator" w:id="0">
    <w:p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3207EB" w:rsidRDefault="00224855">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4C5A"/>
    <w:rsid w:val="00215698"/>
    <w:rsid w:val="0021779C"/>
    <w:rsid w:val="002207FC"/>
    <w:rsid w:val="00222FF6"/>
    <w:rsid w:val="00224855"/>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2D70"/>
    <w:rsid w:val="00596A60"/>
    <w:rsid w:val="005A3AE8"/>
    <w:rsid w:val="005A6736"/>
    <w:rsid w:val="005B4B25"/>
    <w:rsid w:val="005B5BE6"/>
    <w:rsid w:val="005C25A1"/>
    <w:rsid w:val="005D4D1C"/>
    <w:rsid w:val="005D5AD2"/>
    <w:rsid w:val="005D755E"/>
    <w:rsid w:val="005E18CD"/>
    <w:rsid w:val="005F289A"/>
    <w:rsid w:val="006052EB"/>
    <w:rsid w:val="006548CF"/>
    <w:rsid w:val="00664689"/>
    <w:rsid w:val="00697CE9"/>
    <w:rsid w:val="006F5A37"/>
    <w:rsid w:val="00716AA9"/>
    <w:rsid w:val="007231D3"/>
    <w:rsid w:val="0072359B"/>
    <w:rsid w:val="00731026"/>
    <w:rsid w:val="00760C40"/>
    <w:rsid w:val="007B6790"/>
    <w:rsid w:val="007C1F1F"/>
    <w:rsid w:val="007E3950"/>
    <w:rsid w:val="007E695A"/>
    <w:rsid w:val="007E732C"/>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4C20"/>
    <w:rsid w:val="00B561D7"/>
    <w:rsid w:val="00B743E6"/>
    <w:rsid w:val="00B76508"/>
    <w:rsid w:val="00B81057"/>
    <w:rsid w:val="00BA14FF"/>
    <w:rsid w:val="00BA1B8A"/>
    <w:rsid w:val="00BA5BF4"/>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EE45ED"/>
    <w:rsid w:val="00F029B9"/>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FD8C-ECE6-4330-B0F5-471748A4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12684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2020-01-23T17:18:00Z</dcterms:created>
  <dcterms:modified xsi:type="dcterms:W3CDTF">2020-01-23T17:18:00Z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