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w:t>
      </w:r>
      <w:proofErr w:type="gramStart"/>
      <w:r w:rsidRPr="00B220BC">
        <w:rPr>
          <w:rFonts w:ascii="Arial" w:hAnsi="Arial" w:cs="Arial"/>
          <w:sz w:val="16"/>
          <w:szCs w:val="16"/>
        </w:rPr>
        <w:t>particular or</w:t>
      </w:r>
      <w:proofErr w:type="gramEnd"/>
      <w:r w:rsidRPr="00B220BC">
        <w:rPr>
          <w:rFonts w:ascii="Arial" w:hAnsi="Arial" w:cs="Arial"/>
          <w:sz w:val="16"/>
          <w:szCs w:val="16"/>
        </w:rPr>
        <w:t xml:space="preserve">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4B7471">
        <w:rPr>
          <w:rFonts w:ascii="Arial" w:hAnsi="Arial" w:cs="Arial"/>
          <w:b/>
        </w:rPr>
        <w:t>1</w:t>
      </w:r>
      <w:r w:rsidR="001A7078">
        <w:rPr>
          <w:rFonts w:ascii="Arial" w:hAnsi="Arial" w:cs="Arial"/>
          <w:b/>
        </w:rPr>
        <w:t>9</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 xml:space="preserve">For members hired on or after January 1, 2016 the Rule of 85 will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ice.  The plan permits early retirement at ages 55-64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Death and disability benefits are set by statute.  If an active member dies with less than three years of service for the Main System, a death benefit </w:t>
      </w:r>
      <w:proofErr w:type="gramStart"/>
      <w:r>
        <w:rPr>
          <w:rFonts w:ascii="Arial" w:eastAsia="Times New Roman" w:hAnsi="Arial" w:cs="Arial"/>
          <w:snapToGrid w:val="0"/>
        </w:rPr>
        <w:t>equal</w:t>
      </w:r>
      <w:proofErr w:type="gramEnd"/>
      <w:r>
        <w:rPr>
          <w:rFonts w:ascii="Arial" w:eastAsia="Times New Roman" w:hAnsi="Arial" w:cs="Arial"/>
          <w:snapToGrid w:val="0"/>
        </w:rPr>
        <w:t xml:space="preserve">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Eligible members who become totally disabled after a minimum of 180 days of service, receive monthly disability benefits equal to 25% of their final average salary with a minimum benefit of $100.  To qualify under this section, the member </w:t>
      </w:r>
      <w:proofErr w:type="gramStart"/>
      <w:r>
        <w:rPr>
          <w:rFonts w:ascii="Arial" w:eastAsia="Times New Roman" w:hAnsi="Arial" w:cs="Arial"/>
          <w:snapToGrid w:val="0"/>
        </w:rPr>
        <w:t>has to</w:t>
      </w:r>
      <w:proofErr w:type="gramEnd"/>
      <w:r>
        <w:rPr>
          <w:rFonts w:ascii="Arial" w:eastAsia="Times New Roman" w:hAnsi="Arial" w:cs="Arial"/>
          <w:snapToGrid w:val="0"/>
        </w:rPr>
        <w:t xml:space="preserve">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w:t>
      </w:r>
      <w:proofErr w:type="gramStart"/>
      <w:r>
        <w:rPr>
          <w:rFonts w:ascii="Arial" w:hAnsi="Arial" w:cs="Arial"/>
          <w:b w:val="0"/>
          <w:szCs w:val="22"/>
        </w:rPr>
        <w:t>at a later date</w:t>
      </w:r>
      <w:proofErr w:type="gramEnd"/>
      <w:r>
        <w:rPr>
          <w:rFonts w:ascii="Arial" w:hAnsi="Arial" w:cs="Arial"/>
          <w:b w:val="0"/>
          <w:szCs w:val="22"/>
        </w:rPr>
        <w:t>.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B81057" w:rsidRDefault="00B81057"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p>
    <w:p w:rsidR="00B81057" w:rsidRDefault="00B81057" w:rsidP="003B3015">
      <w:pPr>
        <w:pStyle w:val="B1Text"/>
        <w:rPr>
          <w:rFonts w:ascii="Arial" w:hAnsi="Arial" w:cs="Arial"/>
          <w:sz w:val="22"/>
          <w:szCs w:val="22"/>
        </w:rPr>
      </w:pPr>
    </w:p>
    <w:p w:rsidR="00B81057" w:rsidRDefault="00B81057" w:rsidP="00B81057">
      <w:pPr>
        <w:pStyle w:val="B1Text"/>
        <w:rPr>
          <w:rFonts w:ascii="Arial" w:hAnsi="Arial" w:cs="Arial"/>
          <w:sz w:val="22"/>
          <w:szCs w:val="22"/>
        </w:rPr>
      </w:pPr>
      <w:r>
        <w:rPr>
          <w:rFonts w:ascii="Arial" w:hAnsi="Arial" w:cs="Arial"/>
          <w:sz w:val="22"/>
          <w:szCs w:val="22"/>
        </w:rPr>
        <w:t xml:space="preserve">The member’s account balance includes the vested employer contributions equal to the member’s contributions to an eligible deferred compensation plan. The minimum member contribution is </w:t>
      </w:r>
      <w:proofErr w:type="gramStart"/>
      <w:r>
        <w:rPr>
          <w:rFonts w:ascii="Arial" w:hAnsi="Arial" w:cs="Arial"/>
          <w:sz w:val="22"/>
          <w:szCs w:val="22"/>
        </w:rPr>
        <w:t>$25</w:t>
      </w:r>
      <w:proofErr w:type="gramEnd"/>
      <w:r>
        <w:rPr>
          <w:rFonts w:ascii="Arial" w:hAnsi="Arial" w:cs="Arial"/>
          <w:sz w:val="22"/>
          <w:szCs w:val="22"/>
        </w:rPr>
        <w:t xml:space="preserve"> and the maximum may not exceed the following:</w:t>
      </w:r>
    </w:p>
    <w:p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 xml:space="preserve">Schedule of Net Deferred Outflows and Inflows by Year </w:t>
      </w:r>
      <w:proofErr w:type="gramStart"/>
      <w:r w:rsidR="0022661E">
        <w:rPr>
          <w:rFonts w:ascii="Arial" w:hAnsi="Arial" w:cs="Arial"/>
          <w:color w:val="FF0000"/>
        </w:rPr>
        <w:t>By</w:t>
      </w:r>
      <w:proofErr w:type="gramEnd"/>
      <w:r w:rsidR="0022661E">
        <w:rPr>
          <w:rFonts w:ascii="Arial" w:hAnsi="Arial" w:cs="Arial"/>
          <w:color w:val="FF0000"/>
        </w:rPr>
        <w:t xml:space="preserve">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1</w:t>
            </w:r>
            <w:r w:rsidR="001A7078">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A7078">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A7078">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A7078">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201</w:t>
      </w:r>
      <w:r w:rsidR="001A7078">
        <w:rPr>
          <w:rFonts w:ascii="Arial" w:hAnsi="Arial" w:cs="Arial"/>
        </w:rPr>
        <w:t>8</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3207EB" w:rsidRDefault="001A7078" w:rsidP="003207EB">
            <w:pPr>
              <w:autoSpaceDE w:val="0"/>
              <w:autoSpaceDN w:val="0"/>
              <w:adjustRightInd w:val="0"/>
              <w:spacing w:after="0" w:line="240" w:lineRule="auto"/>
              <w:rPr>
                <w:rFonts w:ascii="ArialMT" w:hAnsi="ArialMT" w:cs="ArialMT"/>
                <w:sz w:val="18"/>
                <w:szCs w:val="18"/>
              </w:rPr>
            </w:pPr>
            <w:r>
              <w:rPr>
                <w:noProof/>
              </w:rPr>
              <w:drawing>
                <wp:inline distT="0" distB="0" distL="0" distR="0" wp14:anchorId="1FFB3640" wp14:editId="631614D1">
                  <wp:extent cx="2494556" cy="2150669"/>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7792" cy="2170702"/>
                          </a:xfrm>
                          <a:prstGeom prst="rect">
                            <a:avLst/>
                          </a:prstGeom>
                        </pic:spPr>
                      </pic:pic>
                    </a:graphicData>
                  </a:graphic>
                </wp:inline>
              </w:drawing>
            </w:r>
          </w:p>
          <w:p w:rsidR="00EB05EE" w:rsidRDefault="003207EB" w:rsidP="003207EB">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Pr="00E27355" w:rsidRDefault="003207EB">
            <w:pPr>
              <w:pStyle w:val="Default"/>
              <w:rPr>
                <w:rFonts w:ascii="Arial" w:hAnsi="Arial" w:cs="Arial"/>
                <w:sz w:val="22"/>
                <w:szCs w:val="22"/>
              </w:rPr>
            </w:pPr>
            <w:r>
              <w:rPr>
                <w:rFonts w:ascii="Arial" w:hAnsi="Arial" w:cs="Arial"/>
                <w:sz w:val="22"/>
                <w:szCs w:val="22"/>
              </w:rPr>
              <w:t>7.75</w:t>
            </w:r>
            <w:r w:rsidR="00EB05EE" w:rsidRPr="00E27355">
              <w:rPr>
                <w:rFonts w:ascii="Arial" w:hAnsi="Arial" w:cs="Arial"/>
                <w:sz w:val="22"/>
                <w:szCs w:val="22"/>
              </w:rPr>
              <w:t xml:space="preserve">%, net of investment expenses </w:t>
            </w: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w:t>
            </w:r>
            <w:r w:rsidR="001A7078">
              <w:rPr>
                <w:rFonts w:ascii="Arial" w:hAnsi="Arial" w:cs="Arial"/>
                <w:color w:val="252525"/>
              </w:rPr>
              <w:t>0</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3207EB">
              <w:rPr>
                <w:rFonts w:ascii="Arial" w:hAnsi="Arial" w:cs="Arial"/>
                <w:color w:val="252525"/>
              </w:rPr>
              <w:t>05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6.7</w:t>
            </w:r>
            <w:r w:rsidR="001A7078">
              <w:rPr>
                <w:rFonts w:ascii="Arial" w:hAnsi="Arial" w:cs="Arial"/>
                <w:color w:val="252525"/>
              </w:rPr>
              <w:t>1</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1A7078">
              <w:rPr>
                <w:rFonts w:ascii="Arial" w:hAnsi="Arial" w:cs="Arial"/>
                <w:color w:val="252525"/>
              </w:rPr>
              <w:t>7</w:t>
            </w:r>
            <w:r w:rsidR="000F49B3">
              <w:rPr>
                <w:rFonts w:ascii="Arial" w:hAnsi="Arial" w:cs="Arial"/>
                <w:color w:val="252525"/>
              </w:rPr>
              <w:t>%</w:t>
            </w:r>
          </w:p>
        </w:tc>
        <w:tc>
          <w:tcPr>
            <w:tcW w:w="3192" w:type="dxa"/>
          </w:tcPr>
          <w:p w:rsidR="000F49B3" w:rsidRDefault="003207EB"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10.20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23</w:t>
            </w:r>
            <w:r w:rsidR="00CA65EF">
              <w:rPr>
                <w:rFonts w:ascii="Arial" w:hAnsi="Arial" w:cs="Arial"/>
                <w:color w:val="252525"/>
              </w:rPr>
              <w:t>%</w:t>
            </w:r>
          </w:p>
        </w:tc>
        <w:tc>
          <w:tcPr>
            <w:tcW w:w="3192" w:type="dxa"/>
          </w:tcPr>
          <w:p w:rsidR="000F49B3"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1.4</w:t>
            </w:r>
            <w:r w:rsidR="001A7078">
              <w:rPr>
                <w:rFonts w:ascii="Arial" w:hAnsi="Arial" w:cs="Arial"/>
                <w:color w:val="252525"/>
              </w:rPr>
              <w:t>5</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w:t>
            </w:r>
            <w:r w:rsidR="002A6F17">
              <w:rPr>
                <w:rFonts w:ascii="Arial" w:hAnsi="Arial" w:cs="Arial"/>
                <w:color w:val="252525"/>
              </w:rPr>
              <w:t>%</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19</w:t>
            </w:r>
            <w:r w:rsidR="002A6F17">
              <w:rPr>
                <w:rFonts w:ascii="Arial" w:hAnsi="Arial" w:cs="Arial"/>
                <w:color w:val="252525"/>
              </w:rPr>
              <w:t>%</w:t>
            </w:r>
          </w:p>
        </w:tc>
        <w:tc>
          <w:tcPr>
            <w:tcW w:w="3192" w:type="dxa"/>
          </w:tcPr>
          <w:p w:rsidR="002A6F17"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5.1</w:t>
            </w:r>
            <w:r w:rsidR="001A7078">
              <w:rPr>
                <w:rFonts w:ascii="Arial" w:hAnsi="Arial" w:cs="Arial"/>
                <w:color w:val="252525"/>
              </w:rPr>
              <w:t>1</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w:t>
            </w:r>
            <w:r w:rsidR="002A6F17">
              <w:rPr>
                <w:rFonts w:ascii="Arial" w:hAnsi="Arial" w:cs="Arial"/>
                <w:color w:val="252525"/>
              </w:rPr>
              <w:t>%</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w:t>
      </w:r>
      <w:proofErr w:type="gramStart"/>
      <w:r w:rsidR="00231F49">
        <w:rPr>
          <w:rFonts w:ascii="ArialMT" w:hAnsi="ArialMT" w:cs="ArialMT"/>
        </w:rPr>
        <w:t>for the purpose of</w:t>
      </w:r>
      <w:proofErr w:type="gramEnd"/>
      <w:r w:rsidR="00231F49">
        <w:rPr>
          <w:rFonts w:ascii="ArialMT" w:hAnsi="ArialMT" w:cs="ArialMT"/>
        </w:rPr>
        <w:t xml:space="preserve"> the measurement of the Total Pension Liability. This rate considers the ability of the System to meet benefit obligations in the future. To make this </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 xml:space="preserve">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w:t>
      </w:r>
      <w:proofErr w:type="gramStart"/>
      <w:r>
        <w:rPr>
          <w:rFonts w:ascii="ArialMT" w:hAnsi="ArialMT" w:cs="ArialMT"/>
        </w:rPr>
        <w:t>sufficient</w:t>
      </w:r>
      <w:proofErr w:type="gramEnd"/>
      <w:r>
        <w:rPr>
          <w:rFonts w:ascii="ArialMT" w:hAnsi="ArialMT" w:cs="ArialMT"/>
        </w:rPr>
        <w:t xml:space="preserve"> to meet benefit payments, which is the case for the PERS plan, the use of a municipal bond rate is required.</w:t>
      </w: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231F49" w:rsidRDefault="00231F49" w:rsidP="00231F49">
      <w:pPr>
        <w:autoSpaceDE w:val="0"/>
        <w:autoSpaceDN w:val="0"/>
        <w:adjustRightInd w:val="0"/>
        <w:spacing w:after="0" w:line="240" w:lineRule="auto"/>
        <w:rPr>
          <w:rFonts w:ascii="ArialMT" w:hAnsi="ArialMT" w:cs="ArialMT"/>
        </w:rPr>
      </w:pPr>
    </w:p>
    <w:p w:rsidR="002A7845" w:rsidRPr="00231F49" w:rsidRDefault="00231F49" w:rsidP="00231F49">
      <w:pPr>
        <w:autoSpaceDE w:val="0"/>
        <w:autoSpaceDN w:val="0"/>
        <w:adjustRightInd w:val="0"/>
        <w:spacing w:after="0" w:line="240" w:lineRule="auto"/>
        <w:rPr>
          <w:rFonts w:ascii="ArialMT" w:hAnsi="ArialMT" w:cs="ArialMT"/>
        </w:rPr>
      </w:pPr>
      <w:proofErr w:type="gramStart"/>
      <w:r>
        <w:rPr>
          <w:rFonts w:ascii="ArialMT" w:hAnsi="ArialMT" w:cs="ArialMT"/>
        </w:rPr>
        <w:t>For the purpose of</w:t>
      </w:r>
      <w:proofErr w:type="gramEnd"/>
      <w:r>
        <w:rPr>
          <w:rFonts w:ascii="ArialMT" w:hAnsi="ArialMT" w:cs="ArialMT"/>
        </w:rPr>
        <w:t xml:space="preserve"> this valuation, the expected rate of return on pension plan investments is 7.75%; the municipal bond rate is 3.</w:t>
      </w:r>
      <w:r w:rsidR="00D12DD3">
        <w:rPr>
          <w:rFonts w:ascii="ArialMT" w:hAnsi="ArialMT" w:cs="ArialMT"/>
        </w:rPr>
        <w:t>62</w:t>
      </w:r>
      <w:r>
        <w:rPr>
          <w:rFonts w:ascii="ArialMT" w:hAnsi="ArialMT" w:cs="ArialMT"/>
        </w:rPr>
        <w:t>%; and the resulting Single Discount Rate is 6.</w:t>
      </w:r>
      <w:r w:rsidR="00D12DD3">
        <w:rPr>
          <w:rFonts w:ascii="ArialMT" w:hAnsi="ArialMT" w:cs="ArialMT"/>
        </w:rPr>
        <w:t>32</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231F49">
        <w:rPr>
          <w:rFonts w:ascii="Arial" w:hAnsi="Arial" w:cs="Arial"/>
          <w:color w:val="252525"/>
        </w:rPr>
        <w:t>6.</w:t>
      </w:r>
      <w:r w:rsidR="00D73F28">
        <w:rPr>
          <w:rFonts w:ascii="Arial" w:hAnsi="Arial" w:cs="Arial"/>
          <w:color w:val="252525"/>
        </w:rPr>
        <w:t>32</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231F49">
        <w:rPr>
          <w:rFonts w:ascii="Arial" w:hAnsi="Arial" w:cs="Arial"/>
          <w:color w:val="252525"/>
        </w:rPr>
        <w:t>5.</w:t>
      </w:r>
      <w:r w:rsidR="00D73F28">
        <w:rPr>
          <w:rFonts w:ascii="Arial" w:hAnsi="Arial" w:cs="Arial"/>
          <w:color w:val="252525"/>
        </w:rPr>
        <w:t>32</w:t>
      </w:r>
      <w:r w:rsidRPr="00CA65EF">
        <w:rPr>
          <w:rFonts w:ascii="Arial" w:hAnsi="Arial" w:cs="Arial"/>
          <w:color w:val="252525"/>
        </w:rPr>
        <w:t xml:space="preserve"> percent) or 1-percentage-point higher (</w:t>
      </w:r>
      <w:r w:rsidR="00231F49">
        <w:rPr>
          <w:rFonts w:ascii="Arial" w:hAnsi="Arial" w:cs="Arial"/>
          <w:color w:val="252525"/>
        </w:rPr>
        <w:t>7.</w:t>
      </w:r>
      <w:r w:rsidR="00D73F28">
        <w:rPr>
          <w:rFonts w:ascii="Arial" w:hAnsi="Arial" w:cs="Arial"/>
          <w:color w:val="252525"/>
        </w:rPr>
        <w:t>32</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231F49">
              <w:rPr>
                <w:rFonts w:ascii="Arial" w:hAnsi="Arial" w:cs="Arial"/>
                <w:b/>
                <w:bCs/>
                <w:color w:val="252525"/>
              </w:rPr>
              <w:t>5.</w:t>
            </w:r>
            <w:r w:rsidR="00D73F28">
              <w:rPr>
                <w:rFonts w:ascii="Arial" w:hAnsi="Arial" w:cs="Arial"/>
                <w:b/>
                <w:bCs/>
                <w:color w:val="252525"/>
              </w:rPr>
              <w:t>32</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231F49">
              <w:rPr>
                <w:rFonts w:ascii="Arial" w:hAnsi="Arial" w:cs="Arial"/>
                <w:b/>
                <w:bCs/>
                <w:color w:val="252525"/>
              </w:rPr>
              <w:t>6.</w:t>
            </w:r>
            <w:r w:rsidR="00D73F28">
              <w:rPr>
                <w:rFonts w:ascii="Arial" w:hAnsi="Arial" w:cs="Arial"/>
                <w:b/>
                <w:bCs/>
                <w:color w:val="252525"/>
              </w:rPr>
              <w:t>32</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231F49">
              <w:rPr>
                <w:rFonts w:ascii="Arial" w:hAnsi="Arial" w:cs="Arial"/>
                <w:b/>
                <w:bCs/>
                <w:color w:val="252525"/>
              </w:rPr>
              <w:t>7.</w:t>
            </w:r>
            <w:r w:rsidR="00D73F28">
              <w:rPr>
                <w:rFonts w:ascii="Arial" w:hAnsi="Arial" w:cs="Arial"/>
                <w:b/>
                <w:bCs/>
                <w:color w:val="252525"/>
              </w:rPr>
              <w:t>32</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lastRenderedPageBreak/>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D73F28">
              <w:rPr>
                <w:rFonts w:ascii="Arial" w:hAnsi="Arial" w:cs="Arial"/>
                <w:color w:val="252525"/>
              </w:rPr>
              <w:t>9</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D73F28">
              <w:rPr>
                <w:rFonts w:ascii="Arial" w:hAnsi="Arial" w:cs="Arial"/>
                <w:color w:val="252525"/>
              </w:rPr>
              <w:t>9</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B061D5">
        <w:rPr>
          <w:rFonts w:ascii="Arial" w:hAnsi="Arial" w:cs="Arial"/>
          <w:b/>
          <w:bCs/>
          <w:color w:val="252525"/>
          <w:sz w:val="28"/>
          <w:szCs w:val="28"/>
        </w:rPr>
        <w:t>1</w:t>
      </w:r>
      <w:r w:rsidR="00D73F28">
        <w:rPr>
          <w:rFonts w:ascii="Arial" w:hAnsi="Arial" w:cs="Arial"/>
          <w:b/>
          <w:bCs/>
          <w:color w:val="252525"/>
          <w:sz w:val="28"/>
          <w:szCs w:val="28"/>
        </w:rPr>
        <w:t>9</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D6323F">
        <w:rPr>
          <w:rFonts w:ascii="Arial" w:hAnsi="Arial" w:cs="Arial"/>
          <w:color w:val="000000" w:themeColor="text1"/>
        </w:rPr>
        <w:t>(</w:t>
      </w:r>
      <w:r w:rsidR="00D277D1" w:rsidRPr="00D6323F">
        <w:rPr>
          <w:rFonts w:ascii="Arial" w:hAnsi="Arial" w:cs="Arial"/>
          <w:color w:val="000000" w:themeColor="text1"/>
        </w:rPr>
        <w:t>NDPERS</w:t>
      </w:r>
      <w:r w:rsidR="009348EB" w:rsidRPr="00D6323F">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9348EB" w:rsidRPr="00061CF7" w:rsidRDefault="00061CF7" w:rsidP="009348EB">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D73F28">
        <w:rPr>
          <w:rFonts w:ascii="Arial" w:hAnsi="Arial" w:cs="Arial"/>
          <w:color w:val="000000" w:themeColor="text1"/>
        </w:rPr>
        <w:t>9</w:t>
      </w:r>
      <w:r w:rsidRPr="00061CF7">
        <w:rPr>
          <w:rFonts w:ascii="Arial" w:hAnsi="Arial" w:cs="Arial"/>
          <w:color w:val="000000" w:themeColor="text1"/>
        </w:rPr>
        <w:t xml:space="preserve"> reflect actuarial assumption changes effective July 1, 201</w:t>
      </w:r>
      <w:r w:rsidR="00D73F28">
        <w:rPr>
          <w:rFonts w:ascii="Arial" w:hAnsi="Arial" w:cs="Arial"/>
          <w:color w:val="000000" w:themeColor="text1"/>
        </w:rPr>
        <w:t>8</w:t>
      </w:r>
      <w:r w:rsidRPr="00061CF7">
        <w:rPr>
          <w:rFonts w:ascii="Arial" w:hAnsi="Arial" w:cs="Arial"/>
          <w:color w:val="000000" w:themeColor="text1"/>
        </w:rPr>
        <w:t xml:space="preserve"> based on the results of an actuarial experi</w:t>
      </w:r>
      <w:r>
        <w:rPr>
          <w:rFonts w:ascii="Arial" w:hAnsi="Arial" w:cs="Arial"/>
          <w:color w:val="000000" w:themeColor="text1"/>
        </w:rPr>
        <w:t xml:space="preserve">ence study completed in 2015.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9"/>
      <w:footerReference w:type="default" r:id="rId10"/>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B40CE2">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63A66"/>
    <w:rsid w:val="00191015"/>
    <w:rsid w:val="001A7078"/>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6A60"/>
    <w:rsid w:val="005A3AE8"/>
    <w:rsid w:val="005A6736"/>
    <w:rsid w:val="005B5BE6"/>
    <w:rsid w:val="005C25A1"/>
    <w:rsid w:val="005D755E"/>
    <w:rsid w:val="005E18CD"/>
    <w:rsid w:val="005F289A"/>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62914"/>
    <w:rsid w:val="00996962"/>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0CE2"/>
    <w:rsid w:val="00B41811"/>
    <w:rsid w:val="00B466DF"/>
    <w:rsid w:val="00B561D7"/>
    <w:rsid w:val="00B743E6"/>
    <w:rsid w:val="00B76508"/>
    <w:rsid w:val="00B81057"/>
    <w:rsid w:val="00BA14FF"/>
    <w:rsid w:val="00BA1B8A"/>
    <w:rsid w:val="00BA5BF4"/>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6A57"/>
    <w:rsid w:val="00C81A1F"/>
    <w:rsid w:val="00C852E0"/>
    <w:rsid w:val="00CA1EA9"/>
    <w:rsid w:val="00CA65EF"/>
    <w:rsid w:val="00CC39C4"/>
    <w:rsid w:val="00CE1D36"/>
    <w:rsid w:val="00CF596C"/>
    <w:rsid w:val="00D02C15"/>
    <w:rsid w:val="00D12DD3"/>
    <w:rsid w:val="00D21144"/>
    <w:rsid w:val="00D277D1"/>
    <w:rsid w:val="00D321DD"/>
    <w:rsid w:val="00D6323F"/>
    <w:rsid w:val="00D73F28"/>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6BE8-1F68-485C-B7B3-DCDCE72D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2662</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2019-02-28T20:17:00Z</dcterms:created>
  <dcterms:modified xsi:type="dcterms:W3CDTF">2019-02-28T20:17:00Z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