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EE5F16">
        <w:rPr>
          <w:rFonts w:ascii="Arial" w:hAnsi="Arial" w:cs="Arial"/>
          <w:b/>
        </w:rPr>
        <w:t>1</w:t>
      </w:r>
      <w:r w:rsidR="00AC5EEE">
        <w:rPr>
          <w:rFonts w:ascii="Arial" w:hAnsi="Arial" w:cs="Arial"/>
          <w:b/>
        </w:rPr>
        <w:t>9</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AC5EEE" w:rsidRDefault="00AC5EEE" w:rsidP="00596A60">
      <w:pPr>
        <w:pStyle w:val="B3NotesSubHeading"/>
        <w:jc w:val="both"/>
        <w:rPr>
          <w:rFonts w:ascii="Arial" w:hAnsi="Arial" w:cs="Arial"/>
          <w:i/>
          <w:szCs w:val="22"/>
        </w:rPr>
      </w:pPr>
    </w:p>
    <w:p w:rsidR="00AC5EEE" w:rsidRDefault="00AC5EEE"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3B3015" w:rsidRDefault="003B3015" w:rsidP="00FC7863">
      <w:pPr>
        <w:pStyle w:val="B3NotesSubHeading"/>
        <w:rPr>
          <w:rFonts w:ascii="Arial" w:hAnsi="Arial" w:cs="Arial"/>
          <w:i/>
          <w:szCs w:val="22"/>
        </w:rPr>
      </w:pPr>
    </w:p>
    <w:p w:rsidR="00C26DB0" w:rsidRDefault="00C26DB0" w:rsidP="00FC7863">
      <w:pPr>
        <w:pStyle w:val="B3NotesSubHeading"/>
        <w:rPr>
          <w:rFonts w:ascii="Arial" w:hAnsi="Arial" w:cs="Arial"/>
          <w:i/>
          <w:szCs w:val="22"/>
        </w:rPr>
      </w:pPr>
    </w:p>
    <w:p w:rsidR="00C26DB0" w:rsidRDefault="00C26DB0"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rsidTr="00B74EA3">
        <w:tc>
          <w:tcPr>
            <w:tcW w:w="4518" w:type="dxa"/>
          </w:tcPr>
          <w:p w:rsidR="00B74EA3" w:rsidRDefault="00B74EA3" w:rsidP="003B3015">
            <w:pPr>
              <w:pStyle w:val="B1Text"/>
              <w:rPr>
                <w:rFonts w:ascii="Arial" w:hAnsi="Arial" w:cs="Arial"/>
                <w:b/>
                <w:sz w:val="22"/>
                <w:szCs w:val="22"/>
              </w:rPr>
            </w:pPr>
          </w:p>
          <w:p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rsidTr="00B74EA3">
        <w:tc>
          <w:tcPr>
            <w:tcW w:w="4518" w:type="dxa"/>
          </w:tcPr>
          <w:p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rsidR="000479A4" w:rsidRDefault="0092749E" w:rsidP="003B3015">
            <w:pPr>
              <w:pStyle w:val="B1Text"/>
              <w:rPr>
                <w:rFonts w:ascii="Arial" w:hAnsi="Arial" w:cs="Arial"/>
                <w:sz w:val="22"/>
                <w:szCs w:val="22"/>
              </w:rPr>
            </w:pPr>
            <w:r>
              <w:rPr>
                <w:rFonts w:ascii="Arial" w:hAnsi="Arial" w:cs="Arial"/>
                <w:sz w:val="22"/>
                <w:szCs w:val="22"/>
              </w:rPr>
              <w:t xml:space="preserve">     State</w:t>
            </w:r>
          </w:p>
          <w:p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rsidTr="00B74EA3">
        <w:tc>
          <w:tcPr>
            <w:tcW w:w="4518" w:type="dxa"/>
          </w:tcPr>
          <w:p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rsidR="005B433E" w:rsidRDefault="005B433E" w:rsidP="003B3015">
      <w:pPr>
        <w:pStyle w:val="B1Text"/>
        <w:rPr>
          <w:rFonts w:ascii="Arial" w:hAnsi="Arial" w:cs="Arial"/>
          <w:sz w:val="22"/>
          <w:szCs w:val="22"/>
        </w:rPr>
      </w:pPr>
    </w:p>
    <w:p w:rsidR="00EE5F16" w:rsidRDefault="00EE5F16" w:rsidP="003B3015">
      <w:pPr>
        <w:pStyle w:val="B1Text"/>
        <w:rPr>
          <w:rFonts w:ascii="Arial" w:hAnsi="Arial" w:cs="Arial"/>
          <w:sz w:val="22"/>
          <w:szCs w:val="22"/>
        </w:rPr>
      </w:pPr>
    </w:p>
    <w:p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w:t>
      </w:r>
      <w:r w:rsidRPr="00FC7863">
        <w:rPr>
          <w:rFonts w:ascii="Arial" w:hAnsi="Arial" w:cs="Arial"/>
          <w:color w:val="252525"/>
        </w:rPr>
        <w:lastRenderedPageBreak/>
        <w:t xml:space="preserve">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w:t>
      </w:r>
      <w:proofErr w:type="spellStart"/>
      <w:r w:rsidR="007C0075">
        <w:rPr>
          <w:rFonts w:ascii="Arial" w:hAnsi="Arial" w:cs="Arial"/>
          <w:color w:val="FF0000"/>
        </w:rPr>
        <w:t>Enforement</w:t>
      </w:r>
      <w:proofErr w:type="spellEnd"/>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1</w:t>
            </w:r>
            <w:r w:rsidR="006B58E6">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6B58E6">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6B58E6">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6B58E6">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lastRenderedPageBreak/>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201</w:t>
      </w:r>
      <w:r w:rsidR="006B58E6">
        <w:rPr>
          <w:rFonts w:ascii="Arial" w:hAnsi="Arial" w:cs="Arial"/>
        </w:rPr>
        <w:t>8</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 xml:space="preserve">.50% </w:t>
            </w:r>
          </w:p>
          <w:p w:rsidR="00040A2F" w:rsidRPr="00E27355" w:rsidRDefault="00040A2F" w:rsidP="00A81138">
            <w:pPr>
              <w:pStyle w:val="Default"/>
              <w:rPr>
                <w:rFonts w:ascii="Arial" w:hAnsi="Arial" w:cs="Arial"/>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Service at Beginning of Year:                    Increase Rate: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0                                                </w:t>
            </w:r>
            <w:r w:rsidR="006B58E6">
              <w:rPr>
                <w:rFonts w:ascii="ArialMT" w:hAnsi="ArialMT" w:cs="ArialMT"/>
                <w:sz w:val="18"/>
                <w:szCs w:val="18"/>
              </w:rPr>
              <w:t xml:space="preserve"> </w:t>
            </w:r>
            <w:r>
              <w:rPr>
                <w:rFonts w:ascii="ArialMT" w:hAnsi="ArialMT" w:cs="ArialMT"/>
                <w:sz w:val="18"/>
                <w:szCs w:val="18"/>
              </w:rPr>
              <w:t xml:space="preserve"> </w:t>
            </w:r>
            <w:r w:rsidR="006B58E6">
              <w:rPr>
                <w:rFonts w:ascii="ArialMT" w:hAnsi="ArialMT" w:cs="ArialMT"/>
                <w:sz w:val="18"/>
                <w:szCs w:val="18"/>
              </w:rPr>
              <w:t>20</w:t>
            </w:r>
            <w:r>
              <w:rPr>
                <w:rFonts w:ascii="ArialMT" w:hAnsi="ArialMT" w:cs="ArialMT"/>
                <w:sz w:val="18"/>
                <w:szCs w:val="18"/>
              </w:rPr>
              <w:t>.00%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1                                                  </w:t>
            </w:r>
            <w:r w:rsidR="006B58E6">
              <w:rPr>
                <w:rFonts w:ascii="ArialMT" w:hAnsi="ArialMT" w:cs="ArialMT"/>
                <w:sz w:val="18"/>
                <w:szCs w:val="18"/>
              </w:rPr>
              <w:t>2</w:t>
            </w:r>
            <w:r>
              <w:rPr>
                <w:rFonts w:ascii="ArialMT" w:hAnsi="ArialMT" w:cs="ArialMT"/>
                <w:sz w:val="18"/>
                <w:szCs w:val="18"/>
              </w:rPr>
              <w:t>0.00%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2                                                  </w:t>
            </w:r>
            <w:r w:rsidR="006B58E6">
              <w:rPr>
                <w:rFonts w:ascii="ArialMT" w:hAnsi="ArialMT" w:cs="ArialMT"/>
                <w:sz w:val="18"/>
                <w:szCs w:val="18"/>
              </w:rPr>
              <w:t>10</w:t>
            </w:r>
            <w:r>
              <w:rPr>
                <w:rFonts w:ascii="ArialMT" w:hAnsi="ArialMT" w:cs="ArialMT"/>
                <w:sz w:val="18"/>
                <w:szCs w:val="18"/>
              </w:rPr>
              <w:t>.00%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Age*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Under 3</w:t>
            </w:r>
            <w:r w:rsidR="006B58E6">
              <w:rPr>
                <w:rFonts w:ascii="ArialMT" w:hAnsi="ArialMT" w:cs="ArialMT"/>
                <w:sz w:val="18"/>
                <w:szCs w:val="18"/>
              </w:rPr>
              <w:t>0</w:t>
            </w:r>
            <w:r>
              <w:rPr>
                <w:rFonts w:ascii="ArialMT" w:hAnsi="ArialMT" w:cs="ArialMT"/>
                <w:sz w:val="18"/>
                <w:szCs w:val="18"/>
              </w:rPr>
              <w:t xml:space="preserve">                                             </w:t>
            </w:r>
            <w:r w:rsidR="006B58E6">
              <w:rPr>
                <w:rFonts w:ascii="ArialMT" w:hAnsi="ArialMT" w:cs="ArialMT"/>
                <w:sz w:val="18"/>
                <w:szCs w:val="18"/>
              </w:rPr>
              <w:t>7.25</w:t>
            </w:r>
            <w:r>
              <w:rPr>
                <w:rFonts w:ascii="ArialMT" w:hAnsi="ArialMT" w:cs="ArialMT"/>
                <w:sz w:val="18"/>
                <w:szCs w:val="18"/>
              </w:rPr>
              <w:t>%</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3</w:t>
            </w:r>
            <w:r w:rsidR="006B58E6">
              <w:rPr>
                <w:rFonts w:ascii="ArialMT" w:hAnsi="ArialMT" w:cs="ArialMT"/>
                <w:sz w:val="18"/>
                <w:szCs w:val="18"/>
              </w:rPr>
              <w:t>0</w:t>
            </w:r>
            <w:r>
              <w:rPr>
                <w:rFonts w:ascii="ArialMT" w:hAnsi="ArialMT" w:cs="ArialMT"/>
                <w:sz w:val="18"/>
                <w:szCs w:val="18"/>
              </w:rPr>
              <w:t xml:space="preserve"> - </w:t>
            </w:r>
            <w:r w:rsidR="006B58E6">
              <w:rPr>
                <w:rFonts w:ascii="ArialMT" w:hAnsi="ArialMT" w:cs="ArialMT"/>
                <w:sz w:val="18"/>
                <w:szCs w:val="18"/>
              </w:rPr>
              <w:t>39</w:t>
            </w:r>
            <w:r>
              <w:rPr>
                <w:rFonts w:ascii="ArialMT" w:hAnsi="ArialMT" w:cs="ArialMT"/>
                <w:sz w:val="18"/>
                <w:szCs w:val="18"/>
              </w:rPr>
              <w:t xml:space="preserve">                                               </w:t>
            </w:r>
            <w:r w:rsidR="006B58E6">
              <w:rPr>
                <w:rFonts w:ascii="ArialMT" w:hAnsi="ArialMT" w:cs="ArialMT"/>
                <w:sz w:val="18"/>
                <w:szCs w:val="18"/>
              </w:rPr>
              <w:t>6</w:t>
            </w:r>
            <w:r>
              <w:rPr>
                <w:rFonts w:ascii="ArialMT" w:hAnsi="ArialMT" w:cs="ArialMT"/>
                <w:sz w:val="18"/>
                <w:szCs w:val="18"/>
              </w:rPr>
              <w:t>.50%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4</w:t>
            </w:r>
            <w:r w:rsidR="006B58E6">
              <w:rPr>
                <w:rFonts w:ascii="ArialMT" w:hAnsi="ArialMT" w:cs="ArialMT"/>
                <w:sz w:val="18"/>
                <w:szCs w:val="18"/>
              </w:rPr>
              <w:t>0</w:t>
            </w:r>
            <w:r>
              <w:rPr>
                <w:rFonts w:ascii="ArialMT" w:hAnsi="ArialMT" w:cs="ArialMT"/>
                <w:sz w:val="18"/>
                <w:szCs w:val="18"/>
              </w:rPr>
              <w:t xml:space="preserve"> - 49                                               6.</w:t>
            </w:r>
            <w:r w:rsidR="006B58E6">
              <w:rPr>
                <w:rFonts w:ascii="ArialMT" w:hAnsi="ArialMT" w:cs="ArialMT"/>
                <w:sz w:val="18"/>
                <w:szCs w:val="18"/>
              </w:rPr>
              <w:t>25</w:t>
            </w:r>
            <w:r>
              <w:rPr>
                <w:rFonts w:ascii="ArialMT" w:hAnsi="ArialMT" w:cs="ArialMT"/>
                <w:sz w:val="18"/>
                <w:szCs w:val="18"/>
              </w:rPr>
              <w:t>%</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50</w:t>
            </w:r>
            <w:r w:rsidR="006B58E6">
              <w:rPr>
                <w:rFonts w:ascii="ArialMT" w:hAnsi="ArialMT" w:cs="ArialMT"/>
                <w:sz w:val="18"/>
                <w:szCs w:val="18"/>
              </w:rPr>
              <w:t xml:space="preserve"> - 59</w:t>
            </w:r>
            <w:r>
              <w:rPr>
                <w:rFonts w:ascii="ArialMT" w:hAnsi="ArialMT" w:cs="ArialMT"/>
                <w:sz w:val="18"/>
                <w:szCs w:val="18"/>
              </w:rPr>
              <w:t xml:space="preserve">                                               5.</w:t>
            </w:r>
            <w:r w:rsidR="006B58E6">
              <w:rPr>
                <w:rFonts w:ascii="ArialMT" w:hAnsi="ArialMT" w:cs="ArialMT"/>
                <w:sz w:val="18"/>
                <w:szCs w:val="18"/>
              </w:rPr>
              <w:t>75</w:t>
            </w:r>
            <w:r>
              <w:rPr>
                <w:rFonts w:ascii="ArialMT" w:hAnsi="ArialMT" w:cs="ArialMT"/>
                <w:sz w:val="18"/>
                <w:szCs w:val="18"/>
              </w:rPr>
              <w:t>%</w:t>
            </w:r>
          </w:p>
          <w:p w:rsidR="006B58E6" w:rsidRDefault="006B58E6"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60+                                              5.00%</w:t>
            </w:r>
          </w:p>
          <w:p w:rsidR="00040A2F" w:rsidRDefault="00040A2F" w:rsidP="00A81138">
            <w:pPr>
              <w:autoSpaceDE w:val="0"/>
              <w:autoSpaceDN w:val="0"/>
              <w:adjustRightInd w:val="0"/>
              <w:spacing w:after="0" w:line="240" w:lineRule="auto"/>
              <w:rPr>
                <w:rFonts w:ascii="ArialMT" w:hAnsi="ArialMT" w:cs="ArialMT"/>
                <w:sz w:val="18"/>
                <w:szCs w:val="18"/>
              </w:rPr>
            </w:pPr>
          </w:p>
          <w:p w:rsidR="00040A2F" w:rsidRDefault="00040A2F" w:rsidP="00A81138">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040A2F" w:rsidRPr="00E27355" w:rsidRDefault="00040A2F" w:rsidP="00A81138">
            <w:pPr>
              <w:pStyle w:val="Default"/>
              <w:rPr>
                <w:rFonts w:ascii="Arial" w:hAnsi="Arial" w:cs="Arial"/>
                <w:color w:val="000000" w:themeColor="text1"/>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040A2F" w:rsidRPr="00E27355" w:rsidRDefault="00040A2F" w:rsidP="00A81138">
            <w:pPr>
              <w:pStyle w:val="Default"/>
              <w:rPr>
                <w:rFonts w:ascii="Arial" w:hAnsi="Arial" w:cs="Arial"/>
                <w:sz w:val="22"/>
                <w:szCs w:val="22"/>
              </w:rPr>
            </w:pPr>
            <w:r>
              <w:rPr>
                <w:rFonts w:ascii="Arial" w:hAnsi="Arial" w:cs="Arial"/>
                <w:sz w:val="22"/>
                <w:szCs w:val="22"/>
              </w:rPr>
              <w:t>7.75</w:t>
            </w:r>
            <w:r w:rsidRPr="00E27355">
              <w:rPr>
                <w:rFonts w:ascii="Arial" w:hAnsi="Arial" w:cs="Arial"/>
                <w:sz w:val="22"/>
                <w:szCs w:val="22"/>
              </w:rPr>
              <w:t xml:space="preserve">%, net of investment expenses </w:t>
            </w: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For active members, inactive members and healthy retirees, mortality rates were based on the RP-2000 Combined Healthy Mortality Table</w:t>
      </w:r>
      <w:r>
        <w:rPr>
          <w:rFonts w:ascii="Arial" w:hAnsi="Arial" w:cs="Arial"/>
          <w:sz w:val="22"/>
          <w:szCs w:val="22"/>
        </w:rPr>
        <w:t xml:space="preserve"> set back two years for males and three years for females, projected generationally using the SSA 2014 Intermediate Cost scale from 2014.  </w:t>
      </w:r>
      <w:r w:rsidRPr="00E27355">
        <w:rPr>
          <w:rFonts w:ascii="Arial" w:hAnsi="Arial" w:cs="Arial"/>
          <w:sz w:val="22"/>
          <w:szCs w:val="22"/>
        </w:rPr>
        <w:t>For disabled retirees, mortality rates were based</w:t>
      </w:r>
      <w:r>
        <w:rPr>
          <w:rFonts w:ascii="Arial" w:hAnsi="Arial" w:cs="Arial"/>
          <w:sz w:val="22"/>
          <w:szCs w:val="22"/>
        </w:rPr>
        <w:t xml:space="preserve"> on the RP-2000 Disabled</w:t>
      </w:r>
      <w:r w:rsidRPr="00E27355">
        <w:rPr>
          <w:rFonts w:ascii="Arial" w:hAnsi="Arial" w:cs="Arial"/>
          <w:sz w:val="22"/>
          <w:szCs w:val="22"/>
        </w:rPr>
        <w:t xml:space="preserve"> Mortality Table </w:t>
      </w:r>
      <w:r>
        <w:rPr>
          <w:rFonts w:ascii="Arial" w:hAnsi="Arial" w:cs="Arial"/>
          <w:sz w:val="22"/>
          <w:szCs w:val="22"/>
        </w:rPr>
        <w:t>set back one year for males (no setback for females) multiplied by 125%.</w:t>
      </w:r>
      <w:r w:rsidRPr="00E27355">
        <w:rPr>
          <w:rFonts w:ascii="Arial" w:hAnsi="Arial" w:cs="Arial"/>
          <w:sz w:val="22"/>
          <w:szCs w:val="22"/>
        </w:rPr>
        <w:t xml:space="preserve"> </w:t>
      </w:r>
    </w:p>
    <w:p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AD31ED" w:rsidRPr="00AD31ED">
              <w:rPr>
                <w:rFonts w:ascii="Arial" w:hAnsi="Arial" w:cs="Arial"/>
                <w:color w:val="252525"/>
              </w:rPr>
              <w:t>0</w:t>
            </w:r>
            <w:r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040A2F" w:rsidRPr="00AD31ED">
              <w:rPr>
                <w:rFonts w:ascii="Arial" w:hAnsi="Arial" w:cs="Arial"/>
                <w:color w:val="252525"/>
              </w:rPr>
              <w:t>05</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6.7</w:t>
            </w:r>
            <w:r w:rsidR="00AD31ED" w:rsidRPr="00AD31ED">
              <w:rPr>
                <w:rFonts w:ascii="Arial" w:hAnsi="Arial" w:cs="Arial"/>
                <w:color w:val="252525"/>
              </w:rPr>
              <w:t>1</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040A2F" w:rsidRPr="00AD31ED">
              <w:rPr>
                <w:rFonts w:ascii="Arial" w:hAnsi="Arial" w:cs="Arial"/>
                <w:color w:val="252525"/>
              </w:rPr>
              <w:t>10.20</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1.4</w:t>
            </w:r>
            <w:r w:rsidR="00AD31ED" w:rsidRPr="00AD31ED">
              <w:rPr>
                <w:rFonts w:ascii="Arial" w:hAnsi="Arial" w:cs="Arial"/>
                <w:color w:val="252525"/>
              </w:rPr>
              <w:t>5</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5.</w:t>
            </w:r>
            <w:r w:rsidR="00040A2F" w:rsidRPr="00AD31ED">
              <w:rPr>
                <w:rFonts w:ascii="Arial" w:hAnsi="Arial" w:cs="Arial"/>
                <w:color w:val="252525"/>
              </w:rPr>
              <w:t>1</w:t>
            </w:r>
            <w:r w:rsidR="00AD31ED" w:rsidRPr="00AD31ED">
              <w:rPr>
                <w:rFonts w:ascii="Arial" w:hAnsi="Arial" w:cs="Arial"/>
                <w:color w:val="252525"/>
              </w:rPr>
              <w:t>1</w:t>
            </w:r>
            <w:r w:rsidRPr="00AD31ED">
              <w:rPr>
                <w:rFonts w:ascii="Arial" w:hAnsi="Arial" w:cs="Arial"/>
                <w:color w:val="252525"/>
              </w:rPr>
              <w:t>%</w:t>
            </w:r>
          </w:p>
        </w:tc>
      </w:tr>
      <w:tr w:rsidR="003C63CC" w:rsidTr="00D01E08">
        <w:tc>
          <w:tcPr>
            <w:tcW w:w="3192" w:type="dxa"/>
          </w:tcPr>
          <w:p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rsidR="00040A2F" w:rsidRDefault="00040A2F" w:rsidP="00040A2F">
      <w:pPr>
        <w:autoSpaceDE w:val="0"/>
        <w:autoSpaceDN w:val="0"/>
        <w:adjustRightInd w:val="0"/>
        <w:spacing w:after="0" w:line="240" w:lineRule="auto"/>
        <w:rPr>
          <w:rFonts w:ascii="ArialMT" w:hAnsi="ArialMT" w:cs="ArialMT"/>
        </w:rPr>
      </w:pP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040A2F" w:rsidRDefault="00040A2F" w:rsidP="00040A2F">
      <w:pPr>
        <w:autoSpaceDE w:val="0"/>
        <w:autoSpaceDN w:val="0"/>
        <w:adjustRightInd w:val="0"/>
        <w:spacing w:after="0" w:line="240" w:lineRule="auto"/>
        <w:rPr>
          <w:rFonts w:ascii="ArialMT" w:hAnsi="ArialMT" w:cs="ArialMT"/>
        </w:rPr>
      </w:pPr>
    </w:p>
    <w:p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For the purpose of this valuation, the expected rate of return on pension plan investments is 7.75%; the municipal bond rate is 3.</w:t>
      </w:r>
      <w:r w:rsidR="00AD31ED">
        <w:rPr>
          <w:rFonts w:ascii="ArialMT" w:hAnsi="ArialMT" w:cs="ArialMT"/>
        </w:rPr>
        <w:t>62</w:t>
      </w:r>
      <w:r>
        <w:rPr>
          <w:rFonts w:ascii="ArialMT" w:hAnsi="ArialMT" w:cs="ArialMT"/>
        </w:rPr>
        <w:t>%; and the resulting Single Discount Rate is 6.</w:t>
      </w:r>
      <w:r w:rsidR="00AD31ED">
        <w:rPr>
          <w:rFonts w:ascii="ArialMT" w:hAnsi="ArialMT" w:cs="ArialMT"/>
        </w:rPr>
        <w:t>32</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r>
        <w:rPr>
          <w:rFonts w:ascii="Arial" w:hAnsi="Arial" w:cs="Arial"/>
          <w:b/>
          <w:i/>
          <w:color w:val="000000" w:themeColor="text1"/>
          <w:sz w:val="20"/>
          <w:szCs w:val="20"/>
        </w:rPr>
        <w:t>(NDPERS</w:t>
      </w:r>
      <w:r w:rsidRPr="005F289A">
        <w:rPr>
          <w:rFonts w:ascii="Arial" w:hAnsi="Arial" w:cs="Arial"/>
          <w:b/>
          <w:i/>
          <w:color w:val="000000" w:themeColor="text1"/>
          <w:sz w:val="20"/>
          <w:szCs w:val="20"/>
        </w:rPr>
        <w:t xml:space="preserve"> will provide if applicable.)</w:t>
      </w:r>
    </w:p>
    <w:p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040A2F">
        <w:rPr>
          <w:rFonts w:ascii="Arial" w:hAnsi="Arial" w:cs="Arial"/>
          <w:color w:val="252525"/>
        </w:rPr>
        <w:t>6.</w:t>
      </w:r>
      <w:r w:rsidR="00AD31ED">
        <w:rPr>
          <w:rFonts w:ascii="Arial" w:hAnsi="Arial" w:cs="Arial"/>
          <w:color w:val="252525"/>
        </w:rPr>
        <w:t>32</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AD31ED">
        <w:rPr>
          <w:rFonts w:ascii="Arial" w:hAnsi="Arial" w:cs="Arial"/>
          <w:color w:val="252525"/>
        </w:rPr>
        <w:t>5.32</w:t>
      </w:r>
      <w:r w:rsidRPr="00CA65EF">
        <w:rPr>
          <w:rFonts w:ascii="Arial" w:hAnsi="Arial" w:cs="Arial"/>
          <w:color w:val="252525"/>
        </w:rPr>
        <w:t xml:space="preserve"> percent) or 1-percentage-point higher (</w:t>
      </w:r>
      <w:r w:rsidR="00040A2F">
        <w:rPr>
          <w:rFonts w:ascii="Arial" w:hAnsi="Arial" w:cs="Arial"/>
          <w:color w:val="252525"/>
        </w:rPr>
        <w:t>7.</w:t>
      </w:r>
      <w:r w:rsidR="00AD31ED">
        <w:rPr>
          <w:rFonts w:ascii="Arial" w:hAnsi="Arial" w:cs="Arial"/>
          <w:color w:val="252525"/>
        </w:rPr>
        <w:t>32</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 xml:space="preserve">E, Net Pension Liability Discount Rate Sensitivity by Employer for Law </w:t>
      </w:r>
      <w:proofErr w:type="spellStart"/>
      <w:r w:rsidR="007C0075">
        <w:rPr>
          <w:rFonts w:ascii="Arial" w:hAnsi="Arial" w:cs="Arial"/>
          <w:color w:val="FF0000"/>
        </w:rPr>
        <w:t>Enforement</w:t>
      </w:r>
      <w:proofErr w:type="spellEnd"/>
      <w:r w:rsidR="007C0075">
        <w:rPr>
          <w:rFonts w:ascii="Arial" w:hAnsi="Arial" w:cs="Arial"/>
          <w:color w:val="FF0000"/>
        </w:rPr>
        <w: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040A2F">
              <w:rPr>
                <w:rFonts w:ascii="Arial" w:hAnsi="Arial" w:cs="Arial"/>
                <w:b/>
                <w:bCs/>
                <w:color w:val="252525"/>
              </w:rPr>
              <w:t>5.</w:t>
            </w:r>
            <w:r w:rsidR="00AD31ED">
              <w:rPr>
                <w:rFonts w:ascii="Arial" w:hAnsi="Arial" w:cs="Arial"/>
                <w:b/>
                <w:bCs/>
                <w:color w:val="252525"/>
              </w:rPr>
              <w:t>32</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040A2F">
              <w:rPr>
                <w:rFonts w:ascii="Arial" w:hAnsi="Arial" w:cs="Arial"/>
                <w:b/>
                <w:bCs/>
                <w:color w:val="252525"/>
              </w:rPr>
              <w:t>6.</w:t>
            </w:r>
            <w:r w:rsidR="00AD31ED">
              <w:rPr>
                <w:rFonts w:ascii="Arial" w:hAnsi="Arial" w:cs="Arial"/>
                <w:b/>
                <w:bCs/>
                <w:color w:val="252525"/>
              </w:rPr>
              <w:t>32</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040A2F">
              <w:rPr>
                <w:rFonts w:ascii="Arial" w:hAnsi="Arial" w:cs="Arial"/>
                <w:b/>
                <w:bCs/>
                <w:color w:val="252525"/>
              </w:rPr>
              <w:t>7.</w:t>
            </w:r>
            <w:r w:rsidR="00AD31ED">
              <w:rPr>
                <w:rFonts w:ascii="Arial" w:hAnsi="Arial" w:cs="Arial"/>
                <w:b/>
                <w:bCs/>
                <w:color w:val="252525"/>
              </w:rPr>
              <w:t>32</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lastRenderedPageBreak/>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AD31ED">
              <w:rPr>
                <w:rFonts w:ascii="Arial" w:hAnsi="Arial" w:cs="Arial"/>
                <w:color w:val="252525"/>
              </w:rPr>
              <w:t>9</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w:t>
            </w:r>
            <w:r w:rsidR="00AD31ED">
              <w:rPr>
                <w:rFonts w:ascii="Arial" w:hAnsi="Arial" w:cs="Arial"/>
                <w:color w:val="252525"/>
              </w:rPr>
              <w:t>9</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40A2F">
        <w:rPr>
          <w:rFonts w:ascii="Arial" w:hAnsi="Arial" w:cs="Arial"/>
          <w:b/>
          <w:bCs/>
          <w:color w:val="252525"/>
          <w:sz w:val="28"/>
          <w:szCs w:val="28"/>
        </w:rPr>
        <w:t>1</w:t>
      </w:r>
      <w:r w:rsidR="00AD31ED">
        <w:rPr>
          <w:rFonts w:ascii="Arial" w:hAnsi="Arial" w:cs="Arial"/>
          <w:b/>
          <w:bCs/>
          <w:color w:val="252525"/>
          <w:sz w:val="28"/>
          <w:szCs w:val="28"/>
        </w:rPr>
        <w:t>9</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D277D1">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F90780" w:rsidRPr="00061CF7" w:rsidRDefault="00F90780" w:rsidP="00F90780">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AD31ED">
        <w:rPr>
          <w:rFonts w:ascii="Arial" w:hAnsi="Arial" w:cs="Arial"/>
          <w:color w:val="000000" w:themeColor="text1"/>
        </w:rPr>
        <w:t>8</w:t>
      </w:r>
      <w:r w:rsidRPr="00061CF7">
        <w:rPr>
          <w:rFonts w:ascii="Arial" w:hAnsi="Arial" w:cs="Arial"/>
          <w:color w:val="000000" w:themeColor="text1"/>
        </w:rPr>
        <w:t xml:space="preserve"> reflect actuarial assumption changes effective July 1, 201</w:t>
      </w:r>
      <w:r w:rsidR="00AD31ED">
        <w:rPr>
          <w:rFonts w:ascii="Arial" w:hAnsi="Arial" w:cs="Arial"/>
          <w:color w:val="000000" w:themeColor="text1"/>
        </w:rPr>
        <w:t>8</w:t>
      </w:r>
      <w:r w:rsidRPr="00061CF7">
        <w:rPr>
          <w:rFonts w:ascii="Arial" w:hAnsi="Arial" w:cs="Arial"/>
          <w:color w:val="000000" w:themeColor="text1"/>
        </w:rPr>
        <w:t xml:space="preserve"> based on the results of an actuarial experi</w:t>
      </w:r>
      <w:r>
        <w:rPr>
          <w:rFonts w:ascii="Arial" w:hAnsi="Arial" w:cs="Arial"/>
          <w:color w:val="000000" w:themeColor="text1"/>
        </w:rPr>
        <w:t>ence study completed in 201</w:t>
      </w:r>
      <w:r w:rsidR="00040A2F">
        <w:rPr>
          <w:rFonts w:ascii="Arial" w:hAnsi="Arial" w:cs="Arial"/>
          <w:color w:val="000000" w:themeColor="text1"/>
        </w:rPr>
        <w:t>5</w:t>
      </w:r>
      <w:r>
        <w:rPr>
          <w:rFonts w:ascii="Arial" w:hAnsi="Arial" w:cs="Arial"/>
          <w:color w:val="000000" w:themeColor="text1"/>
        </w:rPr>
        <w:t xml:space="preserve">.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2D6952" w:rsidRDefault="008370EF">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830F3"/>
    <w:rsid w:val="0049316F"/>
    <w:rsid w:val="00495C7D"/>
    <w:rsid w:val="004A5CC4"/>
    <w:rsid w:val="004A5F34"/>
    <w:rsid w:val="004B4496"/>
    <w:rsid w:val="004D13DF"/>
    <w:rsid w:val="004D74BC"/>
    <w:rsid w:val="004E2B87"/>
    <w:rsid w:val="004E2E2E"/>
    <w:rsid w:val="00511189"/>
    <w:rsid w:val="00526CA9"/>
    <w:rsid w:val="0052796E"/>
    <w:rsid w:val="00537E6A"/>
    <w:rsid w:val="00540BCC"/>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B6790"/>
    <w:rsid w:val="007C0075"/>
    <w:rsid w:val="007C1F1F"/>
    <w:rsid w:val="007C6E5C"/>
    <w:rsid w:val="007E3950"/>
    <w:rsid w:val="007E695A"/>
    <w:rsid w:val="00827BD3"/>
    <w:rsid w:val="008370EF"/>
    <w:rsid w:val="00855ADA"/>
    <w:rsid w:val="008B2D88"/>
    <w:rsid w:val="008B56CE"/>
    <w:rsid w:val="008C3CF1"/>
    <w:rsid w:val="00904CBE"/>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21144"/>
    <w:rsid w:val="00D277D1"/>
    <w:rsid w:val="00D321DD"/>
    <w:rsid w:val="00D42F87"/>
    <w:rsid w:val="00D74C66"/>
    <w:rsid w:val="00D7576E"/>
    <w:rsid w:val="00DC62AD"/>
    <w:rsid w:val="00DD26C4"/>
    <w:rsid w:val="00DD4310"/>
    <w:rsid w:val="00DD56B1"/>
    <w:rsid w:val="00DE147D"/>
    <w:rsid w:val="00DF07FC"/>
    <w:rsid w:val="00E27355"/>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412E-4CEB-4026-A8B0-BFF803A6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2865</Words>
  <Characters>16336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2019-02-28T20:17:00Z</dcterms:created>
  <dcterms:modified xsi:type="dcterms:W3CDTF">2019-02-28T20:17:00Z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